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eastAsia="隶书"/>
          <w:b/>
          <w:szCs w:val="21"/>
        </w:rPr>
      </w:pPr>
      <w:bookmarkStart w:id="6" w:name="_GoBack"/>
      <w:bookmarkEnd w:id="6"/>
      <w:bookmarkStart w:id="0" w:name="OLE_LINK61"/>
    </w:p>
    <w:p>
      <w:pPr>
        <w:rPr>
          <w:rFonts w:ascii="隶书" w:eastAsia="隶书"/>
          <w:b/>
          <w:szCs w:val="21"/>
        </w:rPr>
      </w:pPr>
    </w:p>
    <w:p>
      <w:pPr>
        <w:jc w:val="center"/>
        <w:rPr>
          <w:szCs w:val="21"/>
        </w:rPr>
      </w:pPr>
      <w:r>
        <w:rPr>
          <w:szCs w:val="21"/>
        </w:rPr>
        <w:drawing>
          <wp:inline distT="0" distB="0" distL="0" distR="0">
            <wp:extent cx="1324610" cy="1387475"/>
            <wp:effectExtent l="0" t="0" r="8890" b="3175"/>
            <wp:docPr id="73" name="Picture 1" descr="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标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24610" cy="1387475"/>
                    </a:xfrm>
                    <a:prstGeom prst="rect">
                      <a:avLst/>
                    </a:prstGeom>
                    <a:noFill/>
                    <a:ln>
                      <a:noFill/>
                    </a:ln>
                  </pic:spPr>
                </pic:pic>
              </a:graphicData>
            </a:graphic>
          </wp:inline>
        </w:drawing>
      </w:r>
    </w:p>
    <w:p>
      <w:pPr>
        <w:rPr>
          <w:sz w:val="44"/>
          <w:szCs w:val="44"/>
        </w:rPr>
      </w:pPr>
    </w:p>
    <w:p>
      <w:pPr>
        <w:rPr>
          <w:sz w:val="44"/>
          <w:szCs w:val="44"/>
        </w:rPr>
      </w:pPr>
    </w:p>
    <w:p>
      <w:pPr>
        <w:jc w:val="center"/>
        <w:rPr>
          <w:rFonts w:ascii="隶书" w:eastAsia="隶书"/>
          <w:b/>
          <w:sz w:val="52"/>
          <w:szCs w:val="52"/>
        </w:rPr>
      </w:pPr>
      <w:r>
        <w:rPr>
          <w:rFonts w:hint="eastAsia" w:ascii="隶书" w:eastAsia="隶书"/>
          <w:b/>
          <w:sz w:val="52"/>
          <w:szCs w:val="52"/>
        </w:rPr>
        <w:t xml:space="preserve">新疆银桥工程项目咨询有限公司 </w:t>
      </w: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center"/>
        <w:rPr>
          <w:rFonts w:ascii="华文彩云" w:eastAsia="华文彩云"/>
          <w:szCs w:val="21"/>
        </w:rPr>
      </w:pPr>
    </w:p>
    <w:p>
      <w:pPr>
        <w:jc w:val="both"/>
        <w:rPr>
          <w:rFonts w:ascii="华文彩云" w:eastAsia="华文彩云"/>
          <w:szCs w:val="21"/>
        </w:rPr>
      </w:pPr>
    </w:p>
    <w:p>
      <w:pPr>
        <w:spacing w:line="360" w:lineRule="auto"/>
        <w:rPr>
          <w:rFonts w:hint="eastAsia" w:ascii="微软雅黑" w:hAnsi="微软雅黑" w:eastAsia="微软雅黑"/>
          <w:sz w:val="28"/>
          <w:szCs w:val="28"/>
        </w:rPr>
      </w:pPr>
      <w:r>
        <w:rPr>
          <w:rFonts w:hint="eastAsia" w:ascii="微软雅黑" w:hAnsi="微软雅黑" w:eastAsia="微软雅黑"/>
          <w:sz w:val="28"/>
          <w:szCs w:val="28"/>
        </w:rPr>
        <w:t>联 系 人：王唯琛                    手    机：13999969274</w:t>
      </w:r>
    </w:p>
    <w:p>
      <w:pPr>
        <w:spacing w:line="360" w:lineRule="auto"/>
        <w:rPr>
          <w:rFonts w:hint="eastAsia" w:ascii="微软雅黑" w:hAnsi="微软雅黑" w:eastAsia="微软雅黑"/>
          <w:sz w:val="28"/>
          <w:szCs w:val="28"/>
        </w:rPr>
      </w:pPr>
      <w:r>
        <w:rPr>
          <w:rFonts w:hint="eastAsia" w:ascii="微软雅黑" w:hAnsi="微软雅黑" w:eastAsia="微软雅黑"/>
          <w:sz w:val="28"/>
          <w:szCs w:val="28"/>
        </w:rPr>
        <w:t>联系电话：0991-2325119    传    真：0991—2325119</w:t>
      </w:r>
    </w:p>
    <w:p>
      <w:pPr>
        <w:spacing w:line="360" w:lineRule="auto"/>
        <w:rPr>
          <w:rFonts w:ascii="微软雅黑" w:hAnsi="微软雅黑" w:eastAsia="微软雅黑"/>
          <w:sz w:val="28"/>
          <w:szCs w:val="28"/>
        </w:rPr>
      </w:pPr>
      <w:r>
        <w:rPr>
          <w:rFonts w:hint="eastAsia" w:ascii="微软雅黑" w:hAnsi="微软雅黑" w:eastAsia="微软雅黑"/>
          <w:sz w:val="28"/>
          <w:szCs w:val="28"/>
        </w:rPr>
        <w:t>邮     箱：309662661@qq.com</w:t>
      </w:r>
    </w:p>
    <w:p>
      <w:pPr>
        <w:spacing w:line="360" w:lineRule="auto"/>
        <w:sectPr>
          <w:headerReference r:id="rId3" w:type="default"/>
          <w:footerReference r:id="rId4" w:type="default"/>
          <w:pgSz w:w="11907" w:h="16840"/>
          <w:pgMar w:top="1440" w:right="1797" w:bottom="1440" w:left="1797" w:header="720" w:footer="720" w:gutter="0"/>
          <w:pgNumType w:start="1"/>
          <w:cols w:space="720" w:num="1"/>
        </w:sectPr>
      </w:pPr>
      <w:r>
        <w:rPr>
          <w:rFonts w:hint="eastAsia" w:ascii="微软雅黑" w:hAnsi="微软雅黑" w:eastAsia="微软雅黑"/>
          <w:sz w:val="28"/>
          <w:szCs w:val="28"/>
        </w:rPr>
        <w:t>地    址：乌鲁木齐经济技术开发区</w:t>
      </w:r>
      <w:r>
        <w:rPr>
          <w:rFonts w:ascii="微软雅黑" w:hAnsi="微软雅黑" w:eastAsia="微软雅黑"/>
          <w:sz w:val="28"/>
          <w:szCs w:val="28"/>
        </w:rPr>
        <w:t>玄武湖路</w:t>
      </w:r>
      <w:r>
        <w:rPr>
          <w:rFonts w:hint="eastAsia" w:ascii="微软雅黑" w:hAnsi="微软雅黑" w:eastAsia="微软雅黑"/>
          <w:sz w:val="28"/>
          <w:szCs w:val="28"/>
        </w:rPr>
        <w:t>555号</w:t>
      </w:r>
      <w:r>
        <w:rPr>
          <w:rFonts w:ascii="微软雅黑" w:hAnsi="微软雅黑" w:eastAsia="微软雅黑"/>
          <w:sz w:val="28"/>
          <w:szCs w:val="28"/>
        </w:rPr>
        <w:t>万达中心</w:t>
      </w:r>
      <w:r>
        <w:rPr>
          <w:rFonts w:hint="eastAsia" w:ascii="微软雅黑" w:hAnsi="微软雅黑" w:eastAsia="微软雅黑"/>
          <w:sz w:val="28"/>
          <w:szCs w:val="28"/>
        </w:rPr>
        <w:t xml:space="preserve">22楼 </w:t>
      </w:r>
    </w:p>
    <w:p>
      <w:pPr>
        <w:ind w:right="25" w:rightChars="12"/>
        <w:rPr>
          <w:rFonts w:ascii="隶书" w:eastAsia="隶书"/>
          <w:b/>
          <w:szCs w:val="21"/>
        </w:rPr>
      </w:pPr>
    </w:p>
    <w:bookmarkEnd w:id="0"/>
    <w:p>
      <w:pPr>
        <w:spacing w:line="240" w:lineRule="atLeast"/>
        <w:rPr>
          <w:rFonts w:hAnsi="宋体"/>
          <w:sz w:val="28"/>
          <w:szCs w:val="28"/>
        </w:rPr>
      </w:pPr>
      <w:r>
        <w:rPr>
          <w:rFonts w:ascii="宋体" w:hAnsi="宋体"/>
          <w:bCs/>
          <w:iCs/>
          <w:sz w:val="28"/>
          <w:szCs w:val="28"/>
        </w:rPr>
        <mc:AlternateContent>
          <mc:Choice Requires="wps">
            <w:drawing>
              <wp:anchor distT="0" distB="0" distL="114300" distR="114300" simplePos="0" relativeHeight="251654144" behindDoc="0" locked="0" layoutInCell="1" allowOverlap="1">
                <wp:simplePos x="0" y="0"/>
                <wp:positionH relativeFrom="column">
                  <wp:posOffset>447675</wp:posOffset>
                </wp:positionH>
                <wp:positionV relativeFrom="paragraph">
                  <wp:posOffset>154940</wp:posOffset>
                </wp:positionV>
                <wp:extent cx="1828800" cy="443230"/>
                <wp:effectExtent l="0" t="0" r="0" b="13970"/>
                <wp:wrapNone/>
                <wp:docPr id="55"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8800" cy="443230"/>
                        </a:xfrm>
                        <a:prstGeom prst="rect">
                          <a:avLst/>
                        </a:prstGeom>
                        <a:solidFill>
                          <a:srgbClr val="FFFFFF"/>
                        </a:solidFill>
                        <a:ln>
                          <a:noFill/>
                        </a:ln>
                        <a:effectLst/>
                      </wps:spPr>
                      <wps:txbx>
                        <w:txbxContent>
                          <w:p>
                            <w:pPr>
                              <w:rPr>
                                <w:b/>
                                <w:bCs/>
                                <w:sz w:val="36"/>
                                <w:szCs w:val="36"/>
                                <w:u w:val="single"/>
                              </w:rPr>
                            </w:pPr>
                            <w:r>
                              <w:rPr>
                                <w:rFonts w:hint="eastAsia"/>
                                <w:b/>
                                <w:bCs/>
                                <w:sz w:val="36"/>
                                <w:szCs w:val="36"/>
                                <w:u w:val="single"/>
                              </w:rPr>
                              <w:t>企 业 简 介</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35.25pt;margin-top:12.2pt;height:34.9pt;width:144pt;z-index:251654144;mso-width-relative:page;mso-height-relative:page;" fillcolor="#FFFFFF" filled="t" stroked="f" coordsize="21600,21600" o:gfxdata="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9Kw5L1wAAAAgBAAAPAAAAAAAAAAEAIAAAACIAAABkcnMv&#10;ZG93bnJldi54bWxQSwECFAAUAAAACACHTuJAOGl2mQQCAAD+AwAADgAAAAAAAAABACAAAAAmAQAA&#10;ZHJzL2Uyb0RvYy54bWxQSwUGAAAAAAYABgBZAQAAnAUAAAAA&#10;">
                <v:fill on="t" focussize="0,0"/>
                <v:stroke on="f"/>
                <v:imagedata o:title=""/>
                <o:lock v:ext="edit" aspectratio="f"/>
                <v:textbox>
                  <w:txbxContent>
                    <w:p>
                      <w:pPr>
                        <w:rPr>
                          <w:b/>
                          <w:bCs/>
                          <w:sz w:val="36"/>
                          <w:szCs w:val="36"/>
                          <w:u w:val="single"/>
                        </w:rPr>
                      </w:pPr>
                      <w:r>
                        <w:rPr>
                          <w:rFonts w:hint="eastAsia"/>
                          <w:b/>
                          <w:bCs/>
                          <w:sz w:val="36"/>
                          <w:szCs w:val="36"/>
                          <w:u w:val="single"/>
                        </w:rPr>
                        <w:t>企 业 简 介</w:t>
                      </w:r>
                    </w:p>
                  </w:txbxContent>
                </v:textbox>
              </v:shape>
            </w:pict>
          </mc:Fallback>
        </mc:AlternateContent>
      </w:r>
      <w:r>
        <w:drawing>
          <wp:anchor distT="0" distB="0" distL="114300" distR="114300" simplePos="0" relativeHeight="251656192" behindDoc="0" locked="0" layoutInCell="1" allowOverlap="1">
            <wp:simplePos x="0" y="0"/>
            <wp:positionH relativeFrom="column">
              <wp:posOffset>-19050</wp:posOffset>
            </wp:positionH>
            <wp:positionV relativeFrom="paragraph">
              <wp:posOffset>13970</wp:posOffset>
            </wp:positionV>
            <wp:extent cx="457200" cy="400050"/>
            <wp:effectExtent l="0" t="0" r="0" b="0"/>
            <wp:wrapNone/>
            <wp:docPr id="54" name="Picture 2" descr="http://www.creahh.com/images/t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http://www.creahh.com/images/tdpg.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457200" cy="400050"/>
                    </a:xfrm>
                    <a:prstGeom prst="rect">
                      <a:avLst/>
                    </a:prstGeom>
                    <a:noFill/>
                    <a:ln>
                      <a:noFill/>
                    </a:ln>
                  </pic:spPr>
                </pic:pic>
              </a:graphicData>
            </a:graphic>
          </wp:anchor>
        </w:drawing>
      </w:r>
      <w:r>
        <w:rPr>
          <w:rFonts w:hint="eastAsia" w:hAnsi="宋体"/>
          <w:sz w:val="28"/>
          <w:szCs w:val="28"/>
        </w:rPr>
        <w:t xml:space="preserve"> </w:t>
      </w:r>
    </w:p>
    <w:p>
      <w:pPr>
        <w:spacing w:line="240" w:lineRule="atLeast"/>
        <w:rPr>
          <w:rFonts w:hAnsi="宋体"/>
          <w:sz w:val="28"/>
          <w:szCs w:val="28"/>
        </w:rPr>
      </w:pPr>
      <w:r>
        <w:rPr>
          <w:rFonts w:hint="eastAsia" w:hAnsi="宋体"/>
          <w:sz w:val="28"/>
          <w:szCs w:val="28"/>
        </w:rPr>
        <w:t xml:space="preserve">    </w:t>
      </w:r>
    </w:p>
    <w:p>
      <w:pPr>
        <w:spacing w:line="240" w:lineRule="atLeast"/>
        <w:rPr>
          <w:rFonts w:hint="default" w:hAnsi="宋体" w:eastAsia="宋体"/>
          <w:sz w:val="28"/>
          <w:szCs w:val="28"/>
          <w:lang w:val="en-US" w:eastAsia="zh-CN"/>
        </w:rPr>
      </w:pPr>
      <w:r>
        <w:rPr>
          <w:rFonts w:hint="eastAsia" w:hAnsi="宋体"/>
          <w:sz w:val="28"/>
          <w:szCs w:val="28"/>
        </w:rPr>
        <w:t xml:space="preserve">    新疆银桥工程项目咨询有限公司是由原中国农业银行新疆分行银桥经济咨询中心于2005年6月改制成立（中国农业银行新疆分行银桥经济咨询中心成立于一九九七年九月），具有甲级工程造价咨询资质，是新疆建设工程造价管理协会理事单位、乌鲁木齐市建设工程造价管理协会的会员单位。公司技术力量雄厚、业务经验丰富、服务内容完整、内部管理严谨，具有良好的行业评价和社会信誉。2013年取得工程咨询单位乙级资格证书（服务范围：规划咨询、编制项目建议书、编制项目可行性研究报告、项目申请报告、资金申请报告、评估咨询），201</w:t>
      </w:r>
      <w:r>
        <w:rPr>
          <w:rFonts w:hAnsi="宋体"/>
          <w:sz w:val="28"/>
          <w:szCs w:val="28"/>
        </w:rPr>
        <w:t>7</w:t>
      </w:r>
      <w:r>
        <w:rPr>
          <w:rFonts w:hint="eastAsia" w:hAnsi="宋体"/>
          <w:sz w:val="28"/>
          <w:szCs w:val="28"/>
        </w:rPr>
        <w:t>年1</w:t>
      </w:r>
      <w:r>
        <w:rPr>
          <w:rFonts w:hint="eastAsia" w:hAnsi="宋体"/>
          <w:sz w:val="28"/>
          <w:szCs w:val="28"/>
          <w:lang w:val="en-US" w:eastAsia="zh-CN"/>
        </w:rPr>
        <w:t>0</w:t>
      </w:r>
      <w:r>
        <w:rPr>
          <w:rFonts w:hint="eastAsia" w:hAnsi="宋体"/>
          <w:sz w:val="28"/>
          <w:szCs w:val="28"/>
        </w:rPr>
        <w:t>月公司取得工程招标代理机构乙级</w:t>
      </w:r>
      <w:r>
        <w:rPr>
          <w:rFonts w:hint="eastAsia" w:hAnsi="宋体"/>
          <w:sz w:val="28"/>
          <w:szCs w:val="28"/>
          <w:lang w:eastAsia="zh-CN"/>
        </w:rPr>
        <w:t>资质</w:t>
      </w:r>
      <w:r>
        <w:rPr>
          <w:rFonts w:hint="eastAsia" w:hAnsi="宋体"/>
          <w:sz w:val="28"/>
          <w:szCs w:val="28"/>
        </w:rPr>
        <w:t>，可承担工程招标代理业务。</w:t>
      </w:r>
      <w:r>
        <w:rPr>
          <w:rFonts w:hint="eastAsia" w:hAnsi="宋体"/>
          <w:sz w:val="28"/>
          <w:szCs w:val="28"/>
          <w:lang w:eastAsia="zh-CN"/>
        </w:rPr>
        <w:t>根据公司这几年的迅速发展，逐步在喀什、和田、博乐、精河、伊犁、阿克苏等地设立了分公司。</w:t>
      </w:r>
    </w:p>
    <w:p>
      <w:pPr>
        <w:spacing w:line="240" w:lineRule="atLeast"/>
        <w:ind w:firstLine="560" w:firstLineChars="200"/>
        <w:rPr>
          <w:rFonts w:hint="eastAsia" w:ascii="宋体" w:hAnsi="宋体"/>
          <w:sz w:val="28"/>
          <w:szCs w:val="28"/>
          <w:lang w:val="en-US" w:eastAsia="zh-CN"/>
        </w:rPr>
      </w:pPr>
      <w:r>
        <w:rPr>
          <w:rFonts w:hint="eastAsia" w:ascii="宋体" w:hAnsi="宋体"/>
          <w:sz w:val="28"/>
          <w:szCs w:val="28"/>
        </w:rPr>
        <w:t>新疆银桥工程项目咨询有限公司</w:t>
      </w:r>
      <w:r>
        <w:rPr>
          <w:rFonts w:hint="eastAsia" w:ascii="宋体" w:hAnsi="宋体"/>
          <w:sz w:val="28"/>
          <w:szCs w:val="28"/>
          <w:lang w:eastAsia="zh-CN"/>
        </w:rPr>
        <w:t>地处乌鲁木齐市经济技术开发区最繁华的商业圈</w:t>
      </w:r>
      <w:r>
        <w:rPr>
          <w:rFonts w:hint="eastAsia" w:ascii="宋体" w:hAnsi="宋体"/>
          <w:sz w:val="28"/>
          <w:szCs w:val="28"/>
          <w:lang w:val="en-US" w:eastAsia="zh-CN"/>
        </w:rPr>
        <w:t>--万达中心，拥有800多平米环境优雅的办公场所和先进设备。</w:t>
      </w:r>
      <w:r>
        <w:rPr>
          <w:rFonts w:hint="eastAsia" w:ascii="宋体" w:hAnsi="宋体"/>
          <w:sz w:val="28"/>
          <w:szCs w:val="28"/>
        </w:rPr>
        <w:t>目前</w:t>
      </w:r>
      <w:r>
        <w:rPr>
          <w:rFonts w:hint="eastAsia" w:ascii="宋体" w:hAnsi="宋体"/>
          <w:sz w:val="28"/>
          <w:szCs w:val="28"/>
          <w:lang w:eastAsia="zh-CN"/>
        </w:rPr>
        <w:t>在职员工</w:t>
      </w:r>
      <w:r>
        <w:rPr>
          <w:rFonts w:hint="eastAsia" w:ascii="宋体" w:hAnsi="宋体"/>
          <w:sz w:val="28"/>
          <w:szCs w:val="28"/>
          <w:lang w:val="en-US" w:eastAsia="zh-CN"/>
        </w:rPr>
        <w:t>58人，其中综合行政人员10人，造价从业人员27人，招标代理从业人员15人，投资咨询人员6人，包含注册造价工程师10人，注册水利造价师5人，注册公路造价师1人，投资咨询师6人，其他专业技术人员42人；拥有工程、经济专业的高级职称人员7人、中级职称人员18人，这些专业的技术人员具有丰富的工作经验和良好的专业素养，并积累了数百个不同类工程项目的相关数据，为各行各业提供专业化的工程造价咨询服务、招标代理服务、工程投资咨询服务，并建立长期稳定、全方位、优质的合作关系。</w:t>
      </w:r>
    </w:p>
    <w:p>
      <w:pPr>
        <w:spacing w:line="240" w:lineRule="atLeast"/>
        <w:ind w:firstLine="560" w:firstLineChars="200"/>
        <w:rPr>
          <w:rFonts w:hint="default" w:ascii="宋体" w:hAnsi="宋体"/>
          <w:sz w:val="28"/>
          <w:szCs w:val="28"/>
          <w:lang w:val="en-US" w:eastAsia="zh-CN"/>
        </w:rPr>
      </w:pPr>
    </w:p>
    <w:p>
      <w:pPr>
        <w:spacing w:before="120" w:beforeLines="50" w:after="120" w:afterLines="50"/>
        <w:ind w:firstLine="565" w:firstLineChars="202"/>
        <w:rPr>
          <w:rFonts w:hint="eastAsia" w:ascii="宋体" w:hAnsi="宋体"/>
          <w:spacing w:val="-4"/>
          <w:sz w:val="28"/>
          <w:szCs w:val="28"/>
        </w:rPr>
      </w:pP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银桥工程项目咨询有限公司严格遵守国家有关法律法规，独立、客观、公正地执业，近年来主要</w:t>
      </w:r>
      <w:r>
        <w:rPr>
          <w:rFonts w:hint="eastAsia" w:ascii="宋体" w:hAnsi="宋体" w:cs="宋体"/>
          <w:sz w:val="28"/>
          <w:szCs w:val="28"/>
          <w:lang w:eastAsia="zh-CN"/>
        </w:rPr>
        <w:t>经营业绩集中在</w:t>
      </w:r>
      <w:r>
        <w:rPr>
          <w:rFonts w:ascii="宋体" w:hAnsi="宋体" w:eastAsia="宋体" w:cs="宋体"/>
          <w:sz w:val="28"/>
          <w:szCs w:val="28"/>
        </w:rPr>
        <w:t>中在新疆区内各审计机构和财政部门，主要委托的部门为：自治区审计厅、自治区财政厅、自治区交通厅，自治区</w:t>
      </w:r>
      <w:r>
        <w:rPr>
          <w:rFonts w:hint="eastAsia" w:ascii="宋体" w:hAnsi="宋体" w:cs="宋体"/>
          <w:sz w:val="28"/>
          <w:szCs w:val="28"/>
          <w:lang w:eastAsia="zh-CN"/>
        </w:rPr>
        <w:t>土</w:t>
      </w:r>
      <w:r>
        <w:rPr>
          <w:rFonts w:ascii="宋体" w:hAnsi="宋体" w:eastAsia="宋体" w:cs="宋体"/>
          <w:sz w:val="28"/>
          <w:szCs w:val="28"/>
        </w:rPr>
        <w:t>地开发建设管理局，</w:t>
      </w:r>
      <w:r>
        <w:rPr>
          <w:rFonts w:hint="eastAsia" w:ascii="宋体" w:hAnsi="宋体" w:cs="宋体"/>
          <w:sz w:val="28"/>
          <w:szCs w:val="28"/>
          <w:lang w:eastAsia="zh-CN"/>
        </w:rPr>
        <w:t>乌鲁木齐市审计局</w:t>
      </w:r>
      <w:r>
        <w:rPr>
          <w:rFonts w:ascii="宋体" w:hAnsi="宋体" w:eastAsia="宋体" w:cs="宋体"/>
          <w:sz w:val="28"/>
          <w:szCs w:val="28"/>
        </w:rPr>
        <w:t>、哈密地区审计局、石河子市八师审计局，</w:t>
      </w:r>
      <w:r>
        <w:rPr>
          <w:rFonts w:hint="eastAsia" w:ascii="宋体" w:hAnsi="宋体" w:cs="宋体"/>
          <w:sz w:val="28"/>
          <w:szCs w:val="28"/>
          <w:lang w:eastAsia="zh-CN"/>
        </w:rPr>
        <w:t>乌鲁木齐市财政局、</w:t>
      </w:r>
      <w:r>
        <w:rPr>
          <w:rFonts w:ascii="宋体" w:hAnsi="宋体" w:eastAsia="宋体" w:cs="宋体"/>
          <w:sz w:val="28"/>
          <w:szCs w:val="28"/>
        </w:rPr>
        <w:t>石河子市</w:t>
      </w:r>
      <w:r>
        <w:rPr>
          <w:rFonts w:hint="eastAsia" w:ascii="宋体" w:hAnsi="宋体" w:cs="宋体"/>
          <w:sz w:val="28"/>
          <w:szCs w:val="28"/>
          <w:lang w:eastAsia="zh-CN"/>
        </w:rPr>
        <w:t>财</w:t>
      </w:r>
      <w:r>
        <w:rPr>
          <w:rFonts w:ascii="宋体" w:hAnsi="宋体" w:eastAsia="宋体" w:cs="宋体"/>
          <w:sz w:val="28"/>
          <w:szCs w:val="28"/>
        </w:rPr>
        <w:t>政局、昌吉州国土局、阿</w:t>
      </w:r>
      <w:r>
        <w:rPr>
          <w:rFonts w:hint="eastAsia" w:ascii="宋体" w:hAnsi="宋体" w:cs="宋体"/>
          <w:sz w:val="28"/>
          <w:szCs w:val="28"/>
          <w:lang w:eastAsia="zh-CN"/>
        </w:rPr>
        <w:t>勒</w:t>
      </w:r>
      <w:r>
        <w:rPr>
          <w:rFonts w:ascii="宋体" w:hAnsi="宋体" w:eastAsia="宋体" w:cs="宋体"/>
          <w:sz w:val="28"/>
          <w:szCs w:val="28"/>
        </w:rPr>
        <w:t>泰地区</w:t>
      </w:r>
      <w:r>
        <w:rPr>
          <w:rFonts w:hint="eastAsia" w:ascii="宋体" w:hAnsi="宋体" w:cs="宋体"/>
          <w:sz w:val="28"/>
          <w:szCs w:val="28"/>
          <w:lang w:eastAsia="zh-CN"/>
        </w:rPr>
        <w:t>国</w:t>
      </w:r>
      <w:r>
        <w:rPr>
          <w:rFonts w:ascii="宋体" w:hAnsi="宋体" w:eastAsia="宋体" w:cs="宋体"/>
          <w:sz w:val="28"/>
          <w:szCs w:val="28"/>
        </w:rPr>
        <w:t>土局，五家</w:t>
      </w:r>
      <w:r>
        <w:rPr>
          <w:rFonts w:hint="eastAsia" w:ascii="宋体" w:hAnsi="宋体" w:cs="宋体"/>
          <w:sz w:val="28"/>
          <w:szCs w:val="28"/>
          <w:lang w:eastAsia="zh-CN"/>
        </w:rPr>
        <w:t>渠</w:t>
      </w:r>
      <w:r>
        <w:rPr>
          <w:rFonts w:ascii="宋体" w:hAnsi="宋体" w:eastAsia="宋体" w:cs="宋体"/>
          <w:sz w:val="28"/>
          <w:szCs w:val="28"/>
        </w:rPr>
        <w:t>财政局，达坂城区审计局、米东区审计局、高新区审计</w:t>
      </w:r>
      <w:r>
        <w:rPr>
          <w:rFonts w:hint="eastAsia" w:ascii="宋体" w:hAnsi="宋体" w:cs="宋体"/>
          <w:sz w:val="28"/>
          <w:szCs w:val="28"/>
          <w:lang w:eastAsia="zh-CN"/>
        </w:rPr>
        <w:t>局</w:t>
      </w:r>
      <w:r>
        <w:rPr>
          <w:rFonts w:ascii="宋体" w:hAnsi="宋体" w:eastAsia="宋体" w:cs="宋体"/>
          <w:sz w:val="28"/>
          <w:szCs w:val="28"/>
        </w:rPr>
        <w:t>，头屯</w:t>
      </w:r>
      <w:r>
        <w:rPr>
          <w:rFonts w:hint="eastAsia" w:ascii="宋体" w:hAnsi="宋体" w:cs="宋体"/>
          <w:sz w:val="28"/>
          <w:szCs w:val="28"/>
          <w:lang w:eastAsia="zh-CN"/>
        </w:rPr>
        <w:t>河</w:t>
      </w:r>
      <w:r>
        <w:rPr>
          <w:rFonts w:ascii="宋体" w:hAnsi="宋体" w:eastAsia="宋体" w:cs="宋体"/>
          <w:sz w:val="28"/>
          <w:szCs w:val="28"/>
        </w:rPr>
        <w:t>区审计</w:t>
      </w:r>
      <w:r>
        <w:rPr>
          <w:rFonts w:hint="eastAsia" w:ascii="宋体" w:hAnsi="宋体" w:cs="宋体"/>
          <w:sz w:val="28"/>
          <w:szCs w:val="28"/>
          <w:lang w:eastAsia="zh-CN"/>
        </w:rPr>
        <w:t>局</w:t>
      </w:r>
      <w:r>
        <w:rPr>
          <w:rFonts w:ascii="宋体" w:hAnsi="宋体" w:eastAsia="宋体" w:cs="宋体"/>
          <w:sz w:val="28"/>
          <w:szCs w:val="28"/>
        </w:rPr>
        <w:t>、乌</w:t>
      </w:r>
      <w:r>
        <w:rPr>
          <w:rFonts w:hint="eastAsia" w:ascii="宋体" w:hAnsi="宋体" w:cs="宋体"/>
          <w:sz w:val="28"/>
          <w:szCs w:val="28"/>
          <w:lang w:eastAsia="zh-CN"/>
        </w:rPr>
        <w:t>鲁</w:t>
      </w:r>
      <w:r>
        <w:rPr>
          <w:rFonts w:ascii="宋体" w:hAnsi="宋体" w:eastAsia="宋体" w:cs="宋体"/>
          <w:sz w:val="28"/>
          <w:szCs w:val="28"/>
        </w:rPr>
        <w:t>木齐市水</w:t>
      </w:r>
      <w:r>
        <w:rPr>
          <w:rFonts w:hint="eastAsia" w:ascii="宋体" w:hAnsi="宋体" w:cs="宋体"/>
          <w:sz w:val="28"/>
          <w:szCs w:val="28"/>
          <w:lang w:eastAsia="zh-CN"/>
        </w:rPr>
        <w:t>磨</w:t>
      </w:r>
      <w:r>
        <w:rPr>
          <w:rFonts w:ascii="宋体" w:hAnsi="宋体" w:eastAsia="宋体" w:cs="宋体"/>
          <w:sz w:val="28"/>
          <w:szCs w:val="28"/>
        </w:rPr>
        <w:t>沟区审计</w:t>
      </w:r>
      <w:r>
        <w:rPr>
          <w:rFonts w:hint="eastAsia" w:ascii="宋体" w:hAnsi="宋体" w:cs="宋体"/>
          <w:sz w:val="28"/>
          <w:szCs w:val="28"/>
          <w:lang w:eastAsia="zh-CN"/>
        </w:rPr>
        <w:t>局</w:t>
      </w:r>
      <w:r>
        <w:rPr>
          <w:rFonts w:ascii="宋体" w:hAnsi="宋体" w:eastAsia="宋体" w:cs="宋体"/>
          <w:sz w:val="28"/>
          <w:szCs w:val="28"/>
        </w:rPr>
        <w:t>、库尔勒市审计局、博乐市审计局、米东区财政局、塔河流</w:t>
      </w:r>
      <w:r>
        <w:rPr>
          <w:rFonts w:hint="eastAsia" w:ascii="宋体" w:hAnsi="宋体" w:cs="宋体"/>
          <w:sz w:val="28"/>
          <w:szCs w:val="28"/>
          <w:lang w:eastAsia="zh-CN"/>
        </w:rPr>
        <w:t>域</w:t>
      </w:r>
      <w:r>
        <w:rPr>
          <w:rFonts w:ascii="宋体" w:hAnsi="宋体" w:eastAsia="宋体" w:cs="宋体"/>
          <w:sz w:val="28"/>
          <w:szCs w:val="28"/>
        </w:rPr>
        <w:t>建设管理局，中国农业银行等数家单位；取得了很好的社会效益和经济效益，</w:t>
      </w:r>
      <w:r>
        <w:rPr>
          <w:rFonts w:hint="eastAsia" w:ascii="宋体" w:hAnsi="宋体" w:cs="宋体"/>
          <w:sz w:val="28"/>
          <w:szCs w:val="28"/>
          <w:lang w:eastAsia="zh-CN"/>
        </w:rPr>
        <w:t>受</w:t>
      </w:r>
      <w:r>
        <w:rPr>
          <w:rFonts w:ascii="宋体" w:hAnsi="宋体" w:eastAsia="宋体" w:cs="宋体"/>
          <w:sz w:val="28"/>
          <w:szCs w:val="28"/>
        </w:rPr>
        <w:t>到业界普遍认同和好评。</w:t>
      </w:r>
      <w:r>
        <w:rPr>
          <w:rFonts w:ascii="宋体" w:hAnsi="宋体" w:eastAsia="宋体" w:cs="宋体"/>
          <w:sz w:val="28"/>
          <w:szCs w:val="28"/>
        </w:rPr>
        <w:br w:type="textWrapping"/>
      </w:r>
      <w:r>
        <w:rPr>
          <w:rFonts w:hint="eastAsia" w:ascii="宋体" w:hAnsi="宋体" w:cs="宋体"/>
          <w:sz w:val="28"/>
          <w:szCs w:val="28"/>
          <w:lang w:val="en-US" w:eastAsia="zh-CN"/>
        </w:rPr>
        <w:t xml:space="preserve">    </w:t>
      </w:r>
      <w:r>
        <w:rPr>
          <w:rFonts w:ascii="宋体" w:hAnsi="宋体" w:eastAsia="宋体" w:cs="宋体"/>
          <w:sz w:val="28"/>
          <w:szCs w:val="28"/>
        </w:rPr>
        <w:t>公司</w:t>
      </w:r>
      <w:r>
        <w:rPr>
          <w:rFonts w:hint="eastAsia" w:ascii="宋体" w:hAnsi="宋体" w:cs="宋体"/>
          <w:sz w:val="28"/>
          <w:szCs w:val="28"/>
          <w:highlight w:val="none"/>
          <w:lang w:eastAsia="zh-CN"/>
        </w:rPr>
        <w:t>秉持</w:t>
      </w:r>
      <w:r>
        <w:rPr>
          <w:rFonts w:ascii="宋体" w:hAnsi="宋体" w:eastAsia="宋体" w:cs="宋体"/>
          <w:sz w:val="28"/>
          <w:szCs w:val="28"/>
        </w:rPr>
        <w:t>“诚招天下客，</w:t>
      </w:r>
      <w:r>
        <w:rPr>
          <w:rFonts w:hint="eastAsia" w:ascii="宋体" w:hAnsi="宋体" w:cs="宋体"/>
          <w:sz w:val="28"/>
          <w:szCs w:val="28"/>
          <w:lang w:eastAsia="zh-CN"/>
        </w:rPr>
        <w:t>誉</w:t>
      </w:r>
      <w:r>
        <w:rPr>
          <w:rFonts w:ascii="宋体" w:hAnsi="宋体" w:eastAsia="宋体" w:cs="宋体"/>
          <w:sz w:val="28"/>
          <w:szCs w:val="28"/>
        </w:rPr>
        <w:t>从信中来”的咨询理念，咨询服务过程将深入客户实际进行调研，并依据客户的实际需要提供相应专业技术服务。并且在服务过程中强调“以服务求生存，以质量求发展”，经过不断追求，公司以不断拓展工程造价咨询服务、招标代理服务、工程咨询服务领</w:t>
      </w:r>
      <w:r>
        <w:rPr>
          <w:rFonts w:hint="eastAsia" w:ascii="宋体" w:hAnsi="宋体" w:cs="宋体"/>
          <w:sz w:val="28"/>
          <w:szCs w:val="28"/>
          <w:lang w:eastAsia="zh-CN"/>
        </w:rPr>
        <w:t>域</w:t>
      </w:r>
      <w:r>
        <w:rPr>
          <w:rFonts w:ascii="宋体" w:hAnsi="宋体" w:eastAsia="宋体" w:cs="宋体"/>
          <w:sz w:val="28"/>
          <w:szCs w:val="28"/>
        </w:rPr>
        <w:t>的深度和广度，紧紧</w:t>
      </w:r>
      <w:r>
        <w:rPr>
          <w:rFonts w:hint="eastAsia" w:ascii="宋体" w:hAnsi="宋体" w:cs="宋体"/>
          <w:sz w:val="28"/>
          <w:szCs w:val="28"/>
          <w:lang w:eastAsia="zh-CN"/>
        </w:rPr>
        <w:t>围</w:t>
      </w:r>
      <w:r>
        <w:rPr>
          <w:rFonts w:ascii="宋体" w:hAnsi="宋体" w:eastAsia="宋体" w:cs="宋体"/>
          <w:sz w:val="28"/>
          <w:szCs w:val="28"/>
        </w:rPr>
        <w:t>绕客户，不断打造银桥品牌</w:t>
      </w:r>
      <w:r>
        <w:rPr>
          <w:rFonts w:ascii="宋体" w:hAnsi="宋体" w:eastAsia="宋体" w:cs="宋体"/>
          <w:sz w:val="24"/>
          <w:szCs w:val="24"/>
        </w:rPr>
        <w:t>。</w:t>
      </w:r>
      <w:r>
        <w:rPr>
          <w:rFonts w:hint="eastAsia" w:ascii="宋体" w:hAnsi="宋体" w:eastAsia="宋体" w:cs="宋体"/>
          <w:color w:val="000000"/>
          <w:sz w:val="28"/>
          <w:szCs w:val="22"/>
        </w:rPr>
        <w:t>近年来公司根据市场需要，最大限度地发挥自身的审计质量与服务优势，适时调整及拓展业务领域，我们欢迎各专业的优秀人员加入， 你选择我们，我们就在这里给予你更广阔的发展平台。</w:t>
      </w:r>
    </w:p>
    <w:p>
      <w:pPr>
        <w:ind w:firstLine="723" w:firstLineChars="200"/>
        <w:rPr>
          <w:rFonts w:ascii="宋体" w:hAnsi="宋体"/>
          <w:b/>
          <w:bCs/>
          <w:sz w:val="36"/>
          <w:szCs w:val="36"/>
        </w:rPr>
      </w:pPr>
    </w:p>
    <w:p>
      <w:pPr>
        <w:ind w:firstLine="723" w:firstLineChars="200"/>
        <w:rPr>
          <w:rFonts w:ascii="宋体" w:hAnsi="宋体"/>
          <w:b/>
          <w:bCs/>
          <w:sz w:val="36"/>
          <w:szCs w:val="36"/>
        </w:rPr>
      </w:pPr>
    </w:p>
    <w:p>
      <w:pPr>
        <w:ind w:firstLine="723" w:firstLineChars="200"/>
        <w:rPr>
          <w:rFonts w:ascii="宋体" w:hAnsi="宋体"/>
          <w:b/>
          <w:bCs/>
          <w:sz w:val="36"/>
          <w:szCs w:val="36"/>
        </w:rPr>
      </w:pPr>
    </w:p>
    <w:p>
      <w:pPr>
        <w:numPr>
          <w:ilvl w:val="0"/>
          <w:numId w:val="0"/>
        </w:numPr>
        <w:jc w:val="both"/>
        <w:rPr>
          <w:rFonts w:hint="eastAsia" w:ascii="微软雅黑" w:hAnsi="微软雅黑" w:eastAsia="微软雅黑"/>
          <w:b/>
          <w:bCs/>
          <w:kern w:val="44"/>
          <w:sz w:val="32"/>
          <w:szCs w:val="28"/>
          <w:u w:val="thick"/>
        </w:rPr>
      </w:pPr>
    </w:p>
    <w:p>
      <w:pPr>
        <w:numPr>
          <w:ilvl w:val="0"/>
          <w:numId w:val="1"/>
        </w:numPr>
        <w:jc w:val="both"/>
        <w:rPr>
          <w:rFonts w:hint="eastAsia" w:ascii="微软雅黑" w:hAnsi="微软雅黑" w:eastAsia="微软雅黑"/>
          <w:b/>
          <w:bCs/>
          <w:kern w:val="44"/>
          <w:sz w:val="32"/>
          <w:szCs w:val="28"/>
          <w:u w:val="thick"/>
        </w:rPr>
      </w:pPr>
      <w:r>
        <w:drawing>
          <wp:anchor distT="0" distB="0" distL="114300" distR="114300" simplePos="0" relativeHeight="251661312" behindDoc="0" locked="0" layoutInCell="1" allowOverlap="1">
            <wp:simplePos x="0" y="0"/>
            <wp:positionH relativeFrom="column">
              <wp:posOffset>-57150</wp:posOffset>
            </wp:positionH>
            <wp:positionV relativeFrom="paragraph">
              <wp:posOffset>635</wp:posOffset>
            </wp:positionV>
            <wp:extent cx="457200" cy="400050"/>
            <wp:effectExtent l="0" t="0" r="0" b="0"/>
            <wp:wrapNone/>
            <wp:docPr id="2" name="Picture 2" descr="http://www.creahh.com/images/t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creahh.com/images/tdpg.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457200" cy="400050"/>
                    </a:xfrm>
                    <a:prstGeom prst="rect">
                      <a:avLst/>
                    </a:prstGeom>
                    <a:noFill/>
                    <a:ln>
                      <a:noFill/>
                    </a:ln>
                  </pic:spPr>
                </pic:pic>
              </a:graphicData>
            </a:graphic>
          </wp:anchor>
        </w:drawing>
      </w:r>
      <w:r>
        <w:rPr>
          <w:rFonts w:hint="eastAsia" w:ascii="微软雅黑" w:hAnsi="微软雅黑" w:eastAsia="微软雅黑"/>
          <w:b/>
          <w:bCs/>
          <w:kern w:val="44"/>
          <w:sz w:val="32"/>
          <w:szCs w:val="28"/>
          <w:u w:val="thick"/>
          <w:lang w:val="en-US" w:eastAsia="zh-CN"/>
        </w:rPr>
        <w:t xml:space="preserve"> </w:t>
      </w:r>
      <w:r>
        <w:rPr>
          <w:rFonts w:hint="eastAsia" w:ascii="微软雅黑" w:hAnsi="微软雅黑" w:eastAsia="微软雅黑"/>
          <w:b/>
          <w:bCs/>
          <w:kern w:val="44"/>
          <w:sz w:val="32"/>
          <w:szCs w:val="28"/>
          <w:u w:val="thick"/>
        </w:rPr>
        <w:t>招</w:t>
      </w:r>
      <w:r>
        <w:rPr>
          <w:rFonts w:hint="eastAsia" w:ascii="微软雅黑" w:hAnsi="微软雅黑" w:eastAsia="微软雅黑"/>
          <w:b/>
          <w:bCs/>
          <w:kern w:val="44"/>
          <w:sz w:val="32"/>
          <w:szCs w:val="28"/>
          <w:u w:val="thick"/>
          <w:lang w:val="en-US" w:eastAsia="zh-CN"/>
        </w:rPr>
        <w:t xml:space="preserve"> </w:t>
      </w:r>
      <w:r>
        <w:rPr>
          <w:rFonts w:hint="eastAsia" w:ascii="微软雅黑" w:hAnsi="微软雅黑" w:eastAsia="微软雅黑"/>
          <w:b/>
          <w:bCs/>
          <w:kern w:val="44"/>
          <w:sz w:val="32"/>
          <w:szCs w:val="28"/>
          <w:u w:val="thick"/>
        </w:rPr>
        <w:t>聘</w:t>
      </w:r>
      <w:r>
        <w:rPr>
          <w:rFonts w:hint="eastAsia" w:ascii="微软雅黑" w:hAnsi="微软雅黑" w:eastAsia="微软雅黑"/>
          <w:b/>
          <w:bCs/>
          <w:kern w:val="44"/>
          <w:sz w:val="32"/>
          <w:szCs w:val="28"/>
          <w:u w:val="thick"/>
          <w:lang w:val="en-US" w:eastAsia="zh-CN"/>
        </w:rPr>
        <w:t xml:space="preserve"> </w:t>
      </w:r>
      <w:r>
        <w:rPr>
          <w:rFonts w:hint="eastAsia" w:ascii="微软雅黑" w:hAnsi="微软雅黑" w:eastAsia="微软雅黑"/>
          <w:b/>
          <w:bCs/>
          <w:kern w:val="44"/>
          <w:sz w:val="32"/>
          <w:szCs w:val="28"/>
          <w:u w:val="thick"/>
        </w:rPr>
        <w:t>须</w:t>
      </w:r>
      <w:r>
        <w:rPr>
          <w:rFonts w:hint="eastAsia" w:ascii="微软雅黑" w:hAnsi="微软雅黑" w:eastAsia="微软雅黑"/>
          <w:b/>
          <w:bCs/>
          <w:kern w:val="44"/>
          <w:sz w:val="32"/>
          <w:szCs w:val="28"/>
          <w:u w:val="thick"/>
          <w:lang w:val="en-US" w:eastAsia="zh-CN"/>
        </w:rPr>
        <w:t xml:space="preserve"> </w:t>
      </w:r>
      <w:r>
        <w:rPr>
          <w:rFonts w:hint="eastAsia" w:ascii="微软雅黑" w:hAnsi="微软雅黑" w:eastAsia="微软雅黑"/>
          <w:b/>
          <w:bCs/>
          <w:kern w:val="44"/>
          <w:sz w:val="32"/>
          <w:szCs w:val="28"/>
          <w:u w:val="thick"/>
        </w:rPr>
        <w:t>知</w:t>
      </w:r>
    </w:p>
    <w:p>
      <w:pPr>
        <w:jc w:val="both"/>
        <w:rPr>
          <w:rFonts w:hint="eastAsia" w:ascii="微软雅黑" w:hAnsi="微软雅黑" w:eastAsia="微软雅黑"/>
          <w:sz w:val="28"/>
          <w:szCs w:val="28"/>
        </w:rPr>
      </w:pPr>
      <w:r>
        <w:rPr>
          <w:rFonts w:hint="eastAsia" w:ascii="微软雅黑" w:hAnsi="微软雅黑" w:eastAsia="微软雅黑"/>
          <w:sz w:val="28"/>
          <w:szCs w:val="28"/>
        </w:rPr>
        <w:t xml:space="preserve">     1、在校期间，认真学习专业知识，积极向上，关心集体，服从力强，思想品德高尚。</w:t>
      </w:r>
    </w:p>
    <w:p>
      <w:pPr>
        <w:jc w:val="both"/>
        <w:rPr>
          <w:rFonts w:hint="eastAsia" w:ascii="微软雅黑" w:hAnsi="微软雅黑" w:eastAsia="微软雅黑"/>
          <w:sz w:val="28"/>
          <w:szCs w:val="28"/>
        </w:rPr>
      </w:pPr>
      <w:r>
        <w:rPr>
          <w:rFonts w:hint="eastAsia" w:ascii="微软雅黑" w:hAnsi="微软雅黑" w:eastAsia="微软雅黑"/>
          <w:sz w:val="28"/>
          <w:szCs w:val="28"/>
        </w:rPr>
        <w:t xml:space="preserve">     2、薪酬待遇：经公司对个人业务能力考核后月薪3000元/月至10000</w:t>
      </w:r>
      <w:r>
        <w:rPr>
          <w:rFonts w:hint="eastAsia" w:ascii="微软雅黑" w:hAnsi="微软雅黑" w:eastAsia="微软雅黑"/>
          <w:sz w:val="28"/>
          <w:szCs w:val="28"/>
          <w:lang w:eastAsia="zh-CN"/>
        </w:rPr>
        <w:t>元</w:t>
      </w:r>
      <w:r>
        <w:rPr>
          <w:rFonts w:hint="eastAsia" w:ascii="微软雅黑" w:hAnsi="微软雅黑" w:eastAsia="微软雅黑"/>
          <w:sz w:val="28"/>
          <w:szCs w:val="28"/>
        </w:rPr>
        <w:t>/</w:t>
      </w:r>
      <w:r>
        <w:rPr>
          <w:rFonts w:hint="eastAsia" w:ascii="微软雅黑" w:hAnsi="微软雅黑" w:eastAsia="微软雅黑"/>
          <w:sz w:val="28"/>
          <w:szCs w:val="28"/>
          <w:lang w:eastAsia="zh-CN"/>
        </w:rPr>
        <w:t>月</w:t>
      </w:r>
      <w:r>
        <w:rPr>
          <w:rFonts w:hint="eastAsia" w:ascii="微软雅黑" w:hAnsi="微软雅黑" w:eastAsia="微软雅黑"/>
          <w:sz w:val="28"/>
          <w:szCs w:val="28"/>
        </w:rPr>
        <w:t>。</w:t>
      </w:r>
    </w:p>
    <w:p>
      <w:pPr>
        <w:jc w:val="both"/>
        <w:rPr>
          <w:rFonts w:hint="eastAsia" w:ascii="微软雅黑" w:hAnsi="微软雅黑" w:eastAsia="微软雅黑"/>
          <w:sz w:val="28"/>
          <w:szCs w:val="28"/>
        </w:rPr>
      </w:pPr>
      <w:r>
        <w:rPr>
          <w:rFonts w:hint="eastAsia" w:ascii="微软雅黑" w:hAnsi="微软雅黑" w:eastAsia="微软雅黑"/>
          <w:sz w:val="28"/>
          <w:szCs w:val="28"/>
        </w:rPr>
        <w:t xml:space="preserve">     3、预计招聘人数30人至35人。</w:t>
      </w:r>
    </w:p>
    <w:p>
      <w:pPr>
        <w:jc w:val="both"/>
        <w:rPr>
          <w:rFonts w:hint="eastAsia" w:ascii="微软雅黑" w:hAnsi="微软雅黑" w:eastAsia="微软雅黑"/>
          <w:sz w:val="28"/>
          <w:szCs w:val="28"/>
          <w:lang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4</w:t>
      </w:r>
      <w:r>
        <w:rPr>
          <w:rFonts w:hint="eastAsia" w:ascii="微软雅黑" w:hAnsi="微软雅黑" w:eastAsia="微软雅黑"/>
          <w:sz w:val="28"/>
          <w:szCs w:val="28"/>
        </w:rPr>
        <w:t>、</w:t>
      </w:r>
      <w:r>
        <w:rPr>
          <w:rFonts w:hint="eastAsia" w:ascii="微软雅黑" w:hAnsi="微软雅黑" w:eastAsia="微软雅黑"/>
          <w:sz w:val="28"/>
          <w:szCs w:val="28"/>
          <w:lang w:eastAsia="zh-CN"/>
        </w:rPr>
        <w:t>专业要求：</w:t>
      </w:r>
    </w:p>
    <w:p>
      <w:pPr>
        <w:ind w:left="0" w:leftChars="0" w:firstLine="638" w:firstLineChars="228"/>
        <w:jc w:val="both"/>
        <w:rPr>
          <w:rFonts w:hint="eastAsia" w:ascii="微软雅黑" w:hAnsi="微软雅黑" w:eastAsia="微软雅黑" w:cs="微软雅黑"/>
          <w:sz w:val="28"/>
          <w:szCs w:val="28"/>
          <w:lang w:eastAsia="zh-CN"/>
        </w:rPr>
      </w:pPr>
      <w:r>
        <w:rPr>
          <w:rFonts w:hint="eastAsia" w:ascii="微软雅黑" w:hAnsi="微软雅黑" w:eastAsia="微软雅黑"/>
          <w:sz w:val="28"/>
          <w:szCs w:val="28"/>
          <w:lang w:val="en-US" w:eastAsia="zh-CN"/>
        </w:rPr>
        <w:t>1）.</w:t>
      </w:r>
      <w:r>
        <w:rPr>
          <w:rFonts w:hint="eastAsia" w:ascii="微软雅黑" w:hAnsi="微软雅黑" w:eastAsia="微软雅黑" w:cs="微软雅黑"/>
          <w:sz w:val="28"/>
          <w:szCs w:val="28"/>
          <w:lang w:eastAsia="zh-CN"/>
        </w:rPr>
        <w:t>工程类（工程造价、</w:t>
      </w:r>
      <w:r>
        <w:rPr>
          <w:rFonts w:hint="eastAsia" w:ascii="微软雅黑" w:hAnsi="微软雅黑" w:eastAsia="微软雅黑" w:cs="微软雅黑"/>
          <w:i w:val="0"/>
          <w:caps w:val="0"/>
          <w:color w:val="444444"/>
          <w:spacing w:val="0"/>
          <w:sz w:val="28"/>
          <w:szCs w:val="28"/>
          <w:shd w:val="clear" w:fill="FFFFFF"/>
        </w:rPr>
        <w:t>土木工程、建筑学</w:t>
      </w:r>
      <w:r>
        <w:rPr>
          <w:rFonts w:hint="eastAsia" w:ascii="微软雅黑" w:hAnsi="微软雅黑" w:eastAsia="微软雅黑" w:cs="微软雅黑"/>
          <w:i w:val="0"/>
          <w:caps w:val="0"/>
          <w:color w:val="444444"/>
          <w:spacing w:val="0"/>
          <w:sz w:val="28"/>
          <w:szCs w:val="28"/>
          <w:shd w:val="clear" w:fill="FFFFFF"/>
          <w:lang w:eastAsia="zh-CN"/>
        </w:rPr>
        <w:t>、</w:t>
      </w:r>
      <w:r>
        <w:rPr>
          <w:rFonts w:hint="eastAsia" w:ascii="微软雅黑" w:hAnsi="微软雅黑" w:eastAsia="微软雅黑" w:cs="微软雅黑"/>
          <w:i w:val="0"/>
          <w:caps w:val="0"/>
          <w:color w:val="444444"/>
          <w:spacing w:val="0"/>
          <w:sz w:val="28"/>
          <w:szCs w:val="28"/>
          <w:shd w:val="clear" w:fill="FFFFFF"/>
        </w:rPr>
        <w:t>工程管理</w:t>
      </w:r>
      <w:r>
        <w:rPr>
          <w:rFonts w:hint="eastAsia" w:ascii="微软雅黑" w:hAnsi="微软雅黑" w:eastAsia="微软雅黑" w:cs="微软雅黑"/>
          <w:i w:val="0"/>
          <w:caps w:val="0"/>
          <w:color w:val="444444"/>
          <w:spacing w:val="0"/>
          <w:sz w:val="28"/>
          <w:szCs w:val="28"/>
          <w:shd w:val="clear" w:fill="FFFFFF"/>
          <w:lang w:eastAsia="zh-CN"/>
        </w:rPr>
        <w:t>、</w:t>
      </w:r>
      <w:r>
        <w:rPr>
          <w:rFonts w:hint="eastAsia" w:ascii="微软雅黑" w:hAnsi="微软雅黑" w:eastAsia="微软雅黑" w:cs="微软雅黑"/>
          <w:i w:val="0"/>
          <w:caps w:val="0"/>
          <w:color w:val="444444"/>
          <w:spacing w:val="0"/>
          <w:sz w:val="28"/>
          <w:szCs w:val="28"/>
          <w:shd w:val="clear" w:fill="FFFFFF"/>
        </w:rPr>
        <w:t>园林</w:t>
      </w:r>
      <w:r>
        <w:rPr>
          <w:rFonts w:hint="eastAsia" w:ascii="微软雅黑" w:hAnsi="微软雅黑" w:eastAsia="微软雅黑" w:cs="微软雅黑"/>
          <w:i w:val="0"/>
          <w:caps w:val="0"/>
          <w:color w:val="444444"/>
          <w:spacing w:val="0"/>
          <w:sz w:val="28"/>
          <w:szCs w:val="28"/>
          <w:shd w:val="clear" w:fill="FFFFFF"/>
          <w:lang w:eastAsia="zh-CN"/>
        </w:rPr>
        <w:t>、水利水电等相关专业</w:t>
      </w:r>
      <w:r>
        <w:rPr>
          <w:rFonts w:hint="eastAsia" w:ascii="微软雅黑" w:hAnsi="微软雅黑" w:eastAsia="微软雅黑" w:cs="微软雅黑"/>
          <w:sz w:val="28"/>
          <w:szCs w:val="28"/>
          <w:lang w:eastAsia="zh-CN"/>
        </w:rPr>
        <w:t>）；</w:t>
      </w:r>
    </w:p>
    <w:p>
      <w:pPr>
        <w:ind w:firstLine="560" w:firstLineChars="200"/>
        <w:jc w:val="both"/>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val="en-US" w:eastAsia="zh-CN"/>
        </w:rPr>
        <w:t>2）.</w:t>
      </w:r>
      <w:r>
        <w:rPr>
          <w:rFonts w:hint="eastAsia" w:ascii="微软雅黑" w:hAnsi="微软雅黑" w:eastAsia="微软雅黑" w:cs="微软雅黑"/>
          <w:sz w:val="28"/>
          <w:szCs w:val="28"/>
        </w:rPr>
        <w:t>农</w:t>
      </w:r>
      <w:r>
        <w:rPr>
          <w:rFonts w:hint="eastAsia" w:ascii="微软雅黑" w:hAnsi="微软雅黑" w:eastAsia="微软雅黑" w:cs="微软雅黑"/>
          <w:sz w:val="28"/>
          <w:szCs w:val="28"/>
          <w:lang w:eastAsia="zh-CN"/>
        </w:rPr>
        <w:t>林</w:t>
      </w:r>
      <w:r>
        <w:rPr>
          <w:rFonts w:hint="eastAsia" w:ascii="微软雅黑" w:hAnsi="微软雅黑" w:eastAsia="微软雅黑" w:cs="微软雅黑"/>
          <w:sz w:val="28"/>
          <w:szCs w:val="28"/>
        </w:rPr>
        <w:t>经济管理类</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农业经济管理、林业经济管理</w:t>
      </w:r>
      <w:r>
        <w:rPr>
          <w:rFonts w:hint="eastAsia" w:ascii="微软雅黑" w:hAnsi="微软雅黑" w:eastAsia="微软雅黑" w:cs="微软雅黑"/>
          <w:sz w:val="28"/>
          <w:szCs w:val="28"/>
          <w:lang w:eastAsia="zh-CN"/>
        </w:rPr>
        <w:t>等相关专业）</w:t>
      </w:r>
    </w:p>
    <w:p>
      <w:pPr>
        <w:keepNext w:val="0"/>
        <w:keepLines w:val="0"/>
        <w:widowControl/>
        <w:suppressLineNumbers w:val="0"/>
        <w:adjustRightInd w:val="0"/>
        <w:snapToGrid w:val="0"/>
        <w:spacing w:before="0" w:beforeAutospacing="0" w:after="0" w:afterAutospacing="0" w:line="360" w:lineRule="auto"/>
        <w:ind w:right="0" w:firstLine="560" w:firstLineChars="200"/>
        <w:jc w:val="left"/>
      </w:pPr>
      <w:r>
        <w:rPr>
          <w:rFonts w:hint="eastAsia" w:ascii="微软雅黑" w:hAnsi="微软雅黑" w:eastAsia="微软雅黑" w:cs="微软雅黑"/>
          <w:sz w:val="28"/>
          <w:szCs w:val="28"/>
          <w:lang w:val="en-US" w:eastAsia="zh-CN"/>
        </w:rPr>
        <w:t>3）.动物科学专业、</w:t>
      </w:r>
      <w:r>
        <w:rPr>
          <w:rFonts w:hint="eastAsia" w:ascii="微软雅黑" w:hAnsi="微软雅黑" w:eastAsia="微软雅黑" w:cs="微软雅黑"/>
          <w:color w:val="000000"/>
          <w:kern w:val="0"/>
          <w:sz w:val="28"/>
          <w:szCs w:val="28"/>
          <w:lang w:val="en-US" w:eastAsia="zh-CN" w:bidi="ar"/>
        </w:rPr>
        <w:t>林学、设施农业科学与工程等相关专业。</w:t>
      </w:r>
    </w:p>
    <w:p>
      <w:pPr>
        <w:keepNext w:val="0"/>
        <w:keepLines w:val="0"/>
        <w:widowControl/>
        <w:suppressLineNumbers w:val="0"/>
        <w:adjustRightInd w:val="0"/>
        <w:snapToGrid w:val="0"/>
        <w:spacing w:before="0" w:beforeAutospacing="0" w:after="0" w:afterAutospacing="0" w:line="360" w:lineRule="auto"/>
        <w:ind w:left="300" w:right="0" w:firstLine="420" w:firstLineChars="200"/>
        <w:jc w:val="left"/>
      </w:pPr>
    </w:p>
    <w:p>
      <w:pPr>
        <w:ind w:firstLine="420" w:firstLineChars="200"/>
        <w:jc w:val="both"/>
      </w:pPr>
    </w:p>
    <w:p>
      <w:pPr>
        <w:ind w:firstLine="560" w:firstLineChars="200"/>
        <w:jc w:val="both"/>
        <w:rPr>
          <w:rFonts w:hint="eastAsia" w:ascii="微软雅黑" w:hAnsi="微软雅黑" w:eastAsia="微软雅黑" w:cs="微软雅黑"/>
          <w:sz w:val="28"/>
          <w:szCs w:val="28"/>
          <w:lang w:val="en-US" w:eastAsia="zh-CN"/>
        </w:rPr>
      </w:pPr>
    </w:p>
    <w:p>
      <w:pPr>
        <w:rPr>
          <w:rFonts w:ascii="宋体" w:hAnsi="宋体"/>
          <w:szCs w:val="21"/>
        </w:rPr>
      </w:pPr>
    </w:p>
    <w:p>
      <w:pPr>
        <w:rPr>
          <w:rFonts w:ascii="宋体" w:hAnsi="宋体"/>
          <w:szCs w:val="21"/>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hint="eastAsia" w:ascii="宋体" w:hAnsi="宋体"/>
          <w:szCs w:val="21"/>
          <w:lang w:eastAsia="zh-CN"/>
        </w:rPr>
      </w:pPr>
    </w:p>
    <w:p>
      <w:pPr>
        <w:rPr>
          <w:rFonts w:ascii="宋体" w:hAnsi="宋体"/>
          <w:szCs w:val="21"/>
        </w:rPr>
      </w:pPr>
    </w:p>
    <w:p>
      <w:pPr>
        <w:rPr>
          <w:rFonts w:ascii="宋体" w:hAnsi="宋体"/>
          <w:szCs w:val="21"/>
        </w:rPr>
      </w:pPr>
    </w:p>
    <w:p>
      <w:pPr>
        <w:rPr>
          <w:b/>
          <w:bCs/>
          <w:i/>
          <w:iCs/>
          <w:sz w:val="44"/>
          <w:szCs w:val="44"/>
          <w:u w:val="single"/>
        </w:rPr>
      </w:pPr>
      <w:r>
        <w:rPr>
          <w:sz w:val="18"/>
          <w:szCs w:val="18"/>
        </w:rPr>
        <w:drawing>
          <wp:inline distT="0" distB="0" distL="0" distR="0">
            <wp:extent cx="457200" cy="394335"/>
            <wp:effectExtent l="0" t="0" r="0" b="571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394335"/>
                    </a:xfrm>
                    <a:prstGeom prst="rect">
                      <a:avLst/>
                    </a:prstGeom>
                    <a:noFill/>
                    <a:ln>
                      <a:noFill/>
                    </a:ln>
                  </pic:spPr>
                </pic:pic>
              </a:graphicData>
            </a:graphic>
          </wp:inline>
        </w:drawing>
      </w:r>
      <w:r>
        <w:rPr>
          <w:rFonts w:hint="eastAsia"/>
          <w:b/>
          <w:bCs/>
          <w:sz w:val="36"/>
          <w:szCs w:val="36"/>
          <w:u w:val="single"/>
        </w:rPr>
        <w:t>企 业 资 质 证 书</w:t>
      </w:r>
    </w:p>
    <w:p>
      <w:pPr>
        <w:rPr>
          <w:rFonts w:ascii="宋体" w:hAnsi="宋体"/>
          <w:szCs w:val="21"/>
        </w:rPr>
      </w:pPr>
    </w:p>
    <w:p>
      <w:pPr>
        <w:ind w:firstLine="600" w:firstLineChars="200"/>
        <w:rPr>
          <w:rFonts w:ascii="宋体" w:hAnsi="宋体"/>
          <w:sz w:val="30"/>
          <w:szCs w:val="30"/>
        </w:rPr>
      </w:pPr>
      <w:r>
        <w:rPr>
          <w:rFonts w:hint="eastAsia" w:ascii="宋体" w:hAnsi="宋体"/>
          <w:sz w:val="30"/>
          <w:szCs w:val="30"/>
        </w:rPr>
        <w:t xml:space="preserve">1、新疆银桥工程项目咨询有限公司营业执照 </w:t>
      </w:r>
    </w:p>
    <w:p>
      <w:pPr>
        <w:ind w:firstLine="600" w:firstLineChars="200"/>
        <w:outlineLvl w:val="0"/>
        <w:rPr>
          <w:rFonts w:ascii="宋体" w:hAnsi="宋体"/>
          <w:sz w:val="30"/>
          <w:szCs w:val="30"/>
        </w:rPr>
      </w:pPr>
      <w:r>
        <w:rPr>
          <w:rFonts w:hint="eastAsia" w:ascii="宋体" w:hAnsi="宋体"/>
          <w:sz w:val="30"/>
          <w:szCs w:val="30"/>
        </w:rPr>
        <w:t xml:space="preserve">2、新疆银桥工程项目咨询有限公司工程造价甲级资质证书  </w:t>
      </w:r>
    </w:p>
    <w:p>
      <w:pPr>
        <w:ind w:firstLine="600" w:firstLineChars="200"/>
        <w:rPr>
          <w:rFonts w:ascii="宋体" w:hAnsi="宋体"/>
          <w:sz w:val="30"/>
          <w:szCs w:val="30"/>
        </w:rPr>
      </w:pPr>
      <w:r>
        <w:rPr>
          <w:rFonts w:hint="eastAsia" w:ascii="宋体" w:hAnsi="宋体"/>
          <w:sz w:val="30"/>
          <w:szCs w:val="30"/>
        </w:rPr>
        <w:t>3、新疆银桥工程项目咨询有限公司工程招标代理资质乙级</w:t>
      </w:r>
    </w:p>
    <w:p>
      <w:pPr>
        <w:ind w:firstLine="600" w:firstLineChars="200"/>
        <w:rPr>
          <w:rFonts w:ascii="宋体" w:hAnsi="宋体"/>
          <w:sz w:val="30"/>
          <w:szCs w:val="30"/>
        </w:rPr>
        <w:sectPr>
          <w:headerReference r:id="rId6" w:type="first"/>
          <w:footerReference r:id="rId9" w:type="first"/>
          <w:headerReference r:id="rId5" w:type="default"/>
          <w:footerReference r:id="rId7" w:type="default"/>
          <w:footerReference r:id="rId8" w:type="even"/>
          <w:pgSz w:w="11906" w:h="16838"/>
          <w:pgMar w:top="1440" w:right="1285" w:bottom="873" w:left="998" w:header="851" w:footer="709" w:gutter="284"/>
          <w:pgNumType w:fmt="numberInDash"/>
          <w:cols w:space="720" w:num="1"/>
          <w:titlePg/>
          <w:docGrid w:type="lines" w:linePitch="312" w:charSpace="0"/>
        </w:sectPr>
      </w:pPr>
      <w:r>
        <w:rPr>
          <w:rFonts w:hint="eastAsia" w:ascii="宋体" w:hAnsi="宋体"/>
          <w:sz w:val="30"/>
          <w:szCs w:val="30"/>
        </w:rPr>
        <w:t>4、工程咨询单位资质乙级</w:t>
      </w:r>
    </w:p>
    <w:p>
      <w:pPr>
        <w:spacing w:line="360" w:lineRule="auto"/>
        <w:ind w:left="-199" w:leftChars="-95" w:firstLine="199" w:firstLineChars="66"/>
        <w:jc w:val="center"/>
        <w:rPr>
          <w:rFonts w:ascii="宋体" w:hAnsi="宋体"/>
          <w:b/>
          <w:sz w:val="30"/>
          <w:szCs w:val="30"/>
        </w:rPr>
      </w:pPr>
      <w:r>
        <w:rPr>
          <w:rFonts w:hint="eastAsia" w:ascii="宋体" w:hAnsi="宋体"/>
          <w:b/>
          <w:sz w:val="30"/>
          <w:szCs w:val="30"/>
        </w:rPr>
        <w:t xml:space="preserve">企业法人营业执照 </w:t>
      </w:r>
    </w:p>
    <w:p>
      <w:pPr>
        <w:spacing w:line="360" w:lineRule="auto"/>
        <w:ind w:left="-199" w:leftChars="-95" w:firstLine="199" w:firstLineChars="66"/>
        <w:jc w:val="center"/>
        <w:rPr>
          <w:rFonts w:ascii="宋体" w:hAnsi="宋体"/>
          <w:b/>
          <w:sz w:val="30"/>
          <w:szCs w:val="30"/>
        </w:rPr>
      </w:pPr>
      <w:r>
        <w:rPr>
          <w:rFonts w:ascii="宋体" w:hAnsi="宋体"/>
          <w:b/>
          <w:sz w:val="30"/>
          <w:szCs w:val="30"/>
        </w:rPr>
        <w:drawing>
          <wp:inline distT="0" distB="0" distL="0" distR="0">
            <wp:extent cx="5441950" cy="7798435"/>
            <wp:effectExtent l="19050" t="0" r="5823" b="0"/>
            <wp:docPr id="1" name="图片 1" descr="J:\银桥\银桥资质扫描件\营业执照（正+副）\银桥营业执照（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银桥\银桥资质扫描件\营业执照（正+副）\银桥营业执照（新）.jpg"/>
                    <pic:cNvPicPr>
                      <a:picLocks noChangeAspect="1" noChangeArrowheads="1"/>
                    </pic:cNvPicPr>
                  </pic:nvPicPr>
                  <pic:blipFill>
                    <a:blip r:embed="rId14" cstate="print"/>
                    <a:srcRect/>
                    <a:stretch>
                      <a:fillRect/>
                    </a:stretch>
                  </pic:blipFill>
                  <pic:spPr>
                    <a:xfrm>
                      <a:off x="0" y="0"/>
                      <a:ext cx="5442787" cy="7799220"/>
                    </a:xfrm>
                    <a:prstGeom prst="rect">
                      <a:avLst/>
                    </a:prstGeom>
                    <a:noFill/>
                    <a:ln w="9525">
                      <a:noFill/>
                      <a:miter lim="800000"/>
                      <a:headEnd/>
                      <a:tailEnd/>
                    </a:ln>
                  </pic:spPr>
                </pic:pic>
              </a:graphicData>
            </a:graphic>
          </wp:inline>
        </w:drawing>
      </w:r>
    </w:p>
    <w:p>
      <w:pPr>
        <w:rPr>
          <w:rFonts w:hint="eastAsia"/>
        </w:rPr>
      </w:pPr>
      <w:r>
        <w:rPr>
          <w:rFonts w:hint="eastAsia"/>
        </w:rPr>
        <w:t xml:space="preserve">                            </w:t>
      </w:r>
    </w:p>
    <w:p>
      <w:pPr>
        <w:ind w:firstLine="2730" w:firstLineChars="1300"/>
        <w:rPr>
          <w:rFonts w:ascii="宋体" w:hAnsi="宋体"/>
          <w:b/>
          <w:bCs/>
          <w:sz w:val="30"/>
          <w:szCs w:val="30"/>
        </w:rPr>
      </w:pPr>
      <w:r>
        <w:rPr>
          <w:rFonts w:hint="eastAsia"/>
        </w:rPr>
        <w:t xml:space="preserve">  </w:t>
      </w:r>
      <w:r>
        <w:rPr>
          <w:rFonts w:hint="eastAsia" w:ascii="宋体" w:hAnsi="宋体"/>
          <w:b/>
          <w:bCs/>
          <w:sz w:val="30"/>
          <w:szCs w:val="30"/>
        </w:rPr>
        <w:t>工程造价甲级资质证</w:t>
      </w:r>
    </w:p>
    <w:p>
      <w:pPr>
        <w:jc w:val="center"/>
      </w:pPr>
      <w:r>
        <w:drawing>
          <wp:inline distT="0" distB="0" distL="0" distR="0">
            <wp:extent cx="5641975" cy="7881620"/>
            <wp:effectExtent l="19050" t="0" r="0" b="0"/>
            <wp:docPr id="6" name="图片 1" descr="F:\2银桥\银桥资质扫描件\造价咨询甲级\IMG_20190705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F:\2银桥\银桥资质扫描件\造价咨询甲级\IMG_20190705_112818.jpg"/>
                    <pic:cNvPicPr>
                      <a:picLocks noChangeAspect="1" noChangeArrowheads="1"/>
                    </pic:cNvPicPr>
                  </pic:nvPicPr>
                  <pic:blipFill>
                    <a:blip r:embed="rId15" cstate="print"/>
                    <a:srcRect/>
                    <a:stretch>
                      <a:fillRect/>
                    </a:stretch>
                  </pic:blipFill>
                  <pic:spPr>
                    <a:xfrm>
                      <a:off x="0" y="0"/>
                      <a:ext cx="5643103" cy="7882816"/>
                    </a:xfrm>
                    <a:prstGeom prst="rect">
                      <a:avLst/>
                    </a:prstGeom>
                    <a:noFill/>
                    <a:ln w="9525">
                      <a:noFill/>
                      <a:miter lim="800000"/>
                      <a:headEnd/>
                      <a:tailEnd/>
                    </a:ln>
                  </pic:spPr>
                </pic:pic>
              </a:graphicData>
            </a:graphic>
          </wp:inline>
        </w:drawing>
      </w:r>
    </w:p>
    <w:p>
      <w:pPr>
        <w:jc w:val="center"/>
      </w:pPr>
    </w:p>
    <w:p>
      <w:pPr>
        <w:jc w:val="center"/>
      </w:pPr>
      <w:r>
        <w:drawing>
          <wp:inline distT="0" distB="0" distL="114300" distR="114300">
            <wp:extent cx="5915025" cy="8505825"/>
            <wp:effectExtent l="0" t="0" r="9525" b="9525"/>
            <wp:docPr id="8" name="图片 1" descr="工程造价甲级资质证书副本新（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工程造价甲级资质证书副本新（小）"/>
                    <pic:cNvPicPr>
                      <a:picLocks noChangeAspect="1"/>
                    </pic:cNvPicPr>
                  </pic:nvPicPr>
                  <pic:blipFill>
                    <a:blip r:embed="rId16"/>
                    <a:stretch>
                      <a:fillRect/>
                    </a:stretch>
                  </pic:blipFill>
                  <pic:spPr>
                    <a:xfrm>
                      <a:off x="0" y="0"/>
                      <a:ext cx="5915025" cy="8505825"/>
                    </a:xfrm>
                    <a:prstGeom prst="rect">
                      <a:avLst/>
                    </a:prstGeom>
                    <a:noFill/>
                    <a:ln>
                      <a:noFill/>
                    </a:ln>
                  </pic:spPr>
                </pic:pic>
              </a:graphicData>
            </a:graphic>
          </wp:inline>
        </w:drawing>
      </w:r>
    </w:p>
    <w:p>
      <w:pPr>
        <w:spacing w:line="360" w:lineRule="auto"/>
        <w:ind w:left="-619" w:leftChars="-295" w:firstLine="617" w:firstLineChars="205"/>
        <w:jc w:val="center"/>
        <w:rPr>
          <w:rFonts w:ascii="宋体" w:hAnsi="宋体"/>
          <w:b/>
          <w:bCs/>
          <w:sz w:val="30"/>
          <w:szCs w:val="30"/>
        </w:rPr>
      </w:pPr>
      <w:r>
        <w:rPr>
          <w:rFonts w:hint="eastAsia" w:ascii="宋体" w:hAnsi="宋体"/>
          <w:b/>
          <w:bCs/>
          <w:sz w:val="30"/>
          <w:szCs w:val="30"/>
        </w:rPr>
        <w:t>工程招标代理资质乙级</w:t>
      </w:r>
    </w:p>
    <w:p>
      <w:pPr>
        <w:spacing w:line="360" w:lineRule="auto"/>
        <w:jc w:val="center"/>
        <w:rPr>
          <w:rFonts w:ascii="宋体" w:hAnsi="宋体" w:eastAsia="仿宋_GB2312"/>
          <w:b/>
          <w:sz w:val="30"/>
          <w:szCs w:val="30"/>
        </w:rPr>
      </w:pPr>
      <w:r>
        <w:rPr>
          <w:rFonts w:ascii="宋体" w:hAnsi="宋体" w:eastAsia="仿宋_GB2312"/>
          <w:b/>
          <w:sz w:val="30"/>
          <w:szCs w:val="30"/>
        </w:rPr>
        <w:drawing>
          <wp:inline distT="0" distB="0" distL="0" distR="0">
            <wp:extent cx="5746115" cy="8298815"/>
            <wp:effectExtent l="0" t="0" r="6985" b="6985"/>
            <wp:docPr id="5" name="图片 5" descr="E:\1a办公室\银桥公司\银桥资质扫描件\招标资质扫描件\资质证书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a办公室\银桥公司\银桥资质扫描件\招标资质扫描件\资质证书正本.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8391" cy="8302302"/>
                    </a:xfrm>
                    <a:prstGeom prst="rect">
                      <a:avLst/>
                    </a:prstGeom>
                    <a:noFill/>
                    <a:ln>
                      <a:noFill/>
                    </a:ln>
                  </pic:spPr>
                </pic:pic>
              </a:graphicData>
            </a:graphic>
          </wp:inline>
        </w:drawing>
      </w:r>
    </w:p>
    <w:p>
      <w:pPr>
        <w:spacing w:line="360" w:lineRule="auto"/>
        <w:ind w:left="-619" w:leftChars="-295" w:firstLine="617" w:firstLineChars="205"/>
        <w:jc w:val="center"/>
        <w:rPr>
          <w:rFonts w:ascii="宋体" w:hAnsi="宋体"/>
          <w:b/>
          <w:bCs/>
          <w:sz w:val="30"/>
          <w:szCs w:val="30"/>
        </w:rPr>
      </w:pPr>
      <w:r>
        <w:rPr>
          <w:rFonts w:hint="eastAsia" w:ascii="宋体" w:hAnsi="宋体"/>
          <w:b/>
          <w:bCs/>
          <w:sz w:val="30"/>
          <w:szCs w:val="30"/>
        </w:rPr>
        <w:t>工程咨询单位资质乙级</w:t>
      </w:r>
    </w:p>
    <w:p>
      <w:pPr>
        <w:jc w:val="left"/>
      </w:pPr>
      <w: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939405" cy="6022340"/>
            <wp:effectExtent l="0" t="952500" r="0" b="931105"/>
            <wp:wrapSquare wrapText="bothSides"/>
            <wp:docPr id="28" name="图片 56" descr="E:\办公室\润土咨询资质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 descr="E:\办公室\润土咨询资质正本.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
                              </a14:imgEffect>
                            </a14:imgLayer>
                          </a14:imgProps>
                        </a:ext>
                        <a:ext uri="{28A0092B-C50C-407E-A947-70E740481C1C}">
                          <a14:useLocalDpi xmlns:a14="http://schemas.microsoft.com/office/drawing/2010/main" val="0"/>
                        </a:ext>
                      </a:extLst>
                    </a:blip>
                    <a:srcRect/>
                    <a:stretch>
                      <a:fillRect/>
                    </a:stretch>
                  </pic:blipFill>
                  <pic:spPr>
                    <a:xfrm rot="16200000">
                      <a:off x="0" y="0"/>
                      <a:ext cx="7939454" cy="6022145"/>
                    </a:xfrm>
                    <a:prstGeom prst="rect">
                      <a:avLst/>
                    </a:prstGeom>
                    <a:noFill/>
                    <a:ln>
                      <a:noFill/>
                    </a:ln>
                  </pic:spPr>
                </pic:pic>
              </a:graphicData>
            </a:graphic>
          </wp:anchor>
        </w:drawing>
      </w:r>
    </w:p>
    <w:p>
      <w:pPr>
        <w:widowControl/>
        <w:rPr>
          <w:rFonts w:hAnsi="宋体"/>
          <w:b/>
          <w:bCs/>
          <w:sz w:val="32"/>
          <w:szCs w:val="32"/>
        </w:rPr>
      </w:pPr>
    </w:p>
    <w:p>
      <w:pPr>
        <w:widowControl/>
        <w:rPr>
          <w:b/>
          <w:bCs/>
          <w:sz w:val="36"/>
          <w:szCs w:val="36"/>
          <w:u w:val="single"/>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65405</wp:posOffset>
            </wp:positionV>
            <wp:extent cx="457200" cy="400050"/>
            <wp:effectExtent l="0" t="0" r="0" b="0"/>
            <wp:wrapNone/>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400050"/>
                    </a:xfrm>
                    <a:prstGeom prst="rect">
                      <a:avLst/>
                    </a:prstGeom>
                    <a:noFill/>
                    <a:ln>
                      <a:noFill/>
                    </a:ln>
                  </pic:spPr>
                </pic:pic>
              </a:graphicData>
            </a:graphic>
          </wp:anchor>
        </w:drawing>
      </w:r>
      <w:r>
        <w:rPr>
          <w:rFonts w:hint="eastAsia" w:hAnsi="宋体"/>
          <w:b/>
          <w:bCs/>
          <w:sz w:val="32"/>
          <w:szCs w:val="32"/>
        </w:rPr>
        <w:t xml:space="preserve">      </w:t>
      </w:r>
      <w:r>
        <w:rPr>
          <w:rFonts w:hint="eastAsia" w:hAnsi="宋体"/>
          <w:b/>
          <w:bCs/>
          <w:sz w:val="36"/>
          <w:szCs w:val="36"/>
        </w:rPr>
        <w:t xml:space="preserve"> </w:t>
      </w:r>
      <w:r>
        <w:rPr>
          <w:rFonts w:hint="eastAsia"/>
          <w:b/>
          <w:bCs/>
          <w:sz w:val="36"/>
          <w:szCs w:val="36"/>
          <w:u w:val="single"/>
        </w:rPr>
        <w:t>服 务 内 容</w:t>
      </w:r>
    </w:p>
    <w:p>
      <w:pPr>
        <w:widowControl/>
        <w:rPr>
          <w:b/>
          <w:bCs/>
          <w:sz w:val="36"/>
          <w:szCs w:val="36"/>
          <w:u w:val="single"/>
        </w:rPr>
      </w:pPr>
    </w:p>
    <w:p>
      <w:pPr>
        <w:spacing w:line="360" w:lineRule="auto"/>
        <w:ind w:left="-619" w:leftChars="-295" w:firstLine="617" w:firstLineChars="205"/>
        <w:jc w:val="left"/>
        <w:rPr>
          <w:rFonts w:ascii="宋体" w:hAnsi="宋体"/>
          <w:b/>
          <w:bCs/>
          <w:sz w:val="30"/>
          <w:szCs w:val="30"/>
        </w:rPr>
      </w:pPr>
      <w:r>
        <w:rPr>
          <w:rFonts w:hint="eastAsia" w:ascii="宋体" w:hAnsi="宋体"/>
          <w:b/>
          <w:bCs/>
          <w:sz w:val="30"/>
          <w:szCs w:val="30"/>
        </w:rPr>
        <w:t>工程造价咨询   （甲级资质）</w:t>
      </w:r>
    </w:p>
    <w:p>
      <w:pPr>
        <w:numPr>
          <w:ilvl w:val="0"/>
          <w:numId w:val="2"/>
        </w:numPr>
        <w:spacing w:before="100" w:beforeAutospacing="1" w:after="100" w:afterAutospacing="1" w:line="900" w:lineRule="exact"/>
        <w:rPr>
          <w:rFonts w:ascii="宋体" w:hAnsi="宋体"/>
          <w:kern w:val="11"/>
          <w:sz w:val="28"/>
          <w:szCs w:val="28"/>
        </w:rPr>
      </w:pPr>
      <w:r>
        <w:rPr>
          <w:rFonts w:hint="eastAsia" w:ascii="宋体" w:hAnsi="宋体"/>
          <w:kern w:val="11"/>
          <w:sz w:val="28"/>
          <w:szCs w:val="28"/>
        </w:rPr>
        <w:t xml:space="preserve">工程项目投资估算、概预算的编制及审查  </w:t>
      </w:r>
    </w:p>
    <w:p>
      <w:pPr>
        <w:numPr>
          <w:ilvl w:val="0"/>
          <w:numId w:val="2"/>
        </w:numPr>
        <w:spacing w:before="100" w:beforeAutospacing="1" w:after="100" w:afterAutospacing="1" w:line="900" w:lineRule="exact"/>
        <w:rPr>
          <w:rFonts w:ascii="宋体" w:hAnsi="宋体"/>
          <w:kern w:val="11"/>
          <w:sz w:val="28"/>
          <w:szCs w:val="28"/>
        </w:rPr>
      </w:pPr>
      <w:r>
        <w:rPr>
          <w:rFonts w:hint="eastAsia" w:ascii="宋体" w:hAnsi="宋体"/>
          <w:kern w:val="11"/>
          <w:sz w:val="28"/>
          <w:szCs w:val="28"/>
        </w:rPr>
        <w:t xml:space="preserve">工程项目结算及标底的编制和审查 </w:t>
      </w:r>
    </w:p>
    <w:p>
      <w:pPr>
        <w:numPr>
          <w:ilvl w:val="0"/>
          <w:numId w:val="2"/>
        </w:numPr>
        <w:spacing w:before="100" w:beforeAutospacing="1" w:after="100" w:afterAutospacing="1" w:line="900" w:lineRule="exact"/>
        <w:rPr>
          <w:rFonts w:ascii="宋体" w:hAnsi="宋体"/>
          <w:kern w:val="11"/>
          <w:sz w:val="28"/>
          <w:szCs w:val="28"/>
        </w:rPr>
      </w:pPr>
      <w:r>
        <w:rPr>
          <w:rFonts w:hint="eastAsia" w:ascii="宋体" w:hAnsi="宋体"/>
          <w:kern w:val="11"/>
          <w:sz w:val="28"/>
          <w:szCs w:val="28"/>
        </w:rPr>
        <w:t xml:space="preserve">工程量清单编制  </w:t>
      </w:r>
    </w:p>
    <w:p>
      <w:pPr>
        <w:numPr>
          <w:ilvl w:val="0"/>
          <w:numId w:val="2"/>
        </w:numPr>
        <w:spacing w:before="100" w:beforeAutospacing="1" w:after="100" w:afterAutospacing="1" w:line="900" w:lineRule="exact"/>
        <w:rPr>
          <w:rFonts w:ascii="宋体" w:hAnsi="宋体"/>
          <w:kern w:val="11"/>
          <w:sz w:val="28"/>
          <w:szCs w:val="28"/>
        </w:rPr>
      </w:pPr>
      <w:r>
        <w:rPr>
          <w:rFonts w:hint="eastAsia" w:ascii="宋体" w:hAnsi="宋体"/>
          <w:kern w:val="11"/>
          <w:sz w:val="28"/>
          <w:szCs w:val="28"/>
        </w:rPr>
        <w:t xml:space="preserve">工程项目招投标咨询 </w:t>
      </w:r>
    </w:p>
    <w:p>
      <w:pPr>
        <w:numPr>
          <w:ilvl w:val="0"/>
          <w:numId w:val="2"/>
        </w:numPr>
        <w:spacing w:before="100" w:beforeAutospacing="1" w:after="100" w:afterAutospacing="1" w:line="900" w:lineRule="exact"/>
        <w:rPr>
          <w:rFonts w:hint="eastAsia" w:ascii="宋体" w:hAnsi="宋体"/>
          <w:kern w:val="11"/>
          <w:sz w:val="28"/>
          <w:szCs w:val="28"/>
        </w:rPr>
      </w:pPr>
      <w:r>
        <w:rPr>
          <w:rFonts w:hint="eastAsia" w:ascii="宋体" w:hAnsi="宋体"/>
          <w:kern w:val="11"/>
          <w:sz w:val="28"/>
          <w:szCs w:val="28"/>
        </w:rPr>
        <w:t>工程造价技术咨询</w:t>
      </w:r>
    </w:p>
    <w:p>
      <w:pPr>
        <w:numPr>
          <w:ilvl w:val="0"/>
          <w:numId w:val="2"/>
        </w:numPr>
        <w:spacing w:before="100" w:beforeAutospacing="1" w:after="100" w:afterAutospacing="1" w:line="900" w:lineRule="exact"/>
        <w:rPr>
          <w:rFonts w:ascii="宋体" w:hAnsi="宋体"/>
          <w:kern w:val="11"/>
          <w:sz w:val="28"/>
          <w:szCs w:val="28"/>
        </w:rPr>
      </w:pPr>
      <w:r>
        <w:rPr>
          <w:rFonts w:hint="eastAsia" w:ascii="宋体" w:hAnsi="宋体"/>
          <w:kern w:val="11"/>
          <w:sz w:val="28"/>
          <w:szCs w:val="28"/>
        </w:rPr>
        <w:t>全过程跟踪审计</w:t>
      </w:r>
    </w:p>
    <w:p>
      <w:pPr>
        <w:spacing w:before="100" w:beforeAutospacing="1" w:after="100" w:afterAutospacing="1" w:line="900" w:lineRule="exact"/>
        <w:rPr>
          <w:rFonts w:ascii="宋体" w:hAnsi="宋体"/>
          <w:sz w:val="28"/>
          <w:szCs w:val="28"/>
        </w:rPr>
      </w:pPr>
    </w:p>
    <w:p>
      <w:pPr>
        <w:spacing w:before="100" w:beforeAutospacing="1" w:after="100" w:afterAutospacing="1" w:line="900" w:lineRule="exact"/>
        <w:rPr>
          <w:rFonts w:ascii="宋体" w:hAnsi="宋体"/>
          <w:sz w:val="28"/>
          <w:szCs w:val="28"/>
        </w:rPr>
      </w:pPr>
    </w:p>
    <w:p>
      <w:pPr>
        <w:spacing w:before="100" w:beforeAutospacing="1" w:after="100" w:afterAutospacing="1" w:line="900" w:lineRule="exact"/>
        <w:rPr>
          <w:rFonts w:ascii="宋体" w:hAnsi="宋体"/>
          <w:sz w:val="28"/>
          <w:szCs w:val="28"/>
        </w:rPr>
      </w:pPr>
    </w:p>
    <w:p>
      <w:pPr>
        <w:spacing w:before="100" w:beforeAutospacing="1" w:after="100" w:afterAutospacing="1" w:line="240" w:lineRule="atLeast"/>
        <w:rPr>
          <w:rFonts w:ascii="宋体" w:hAnsi="宋体"/>
          <w:sz w:val="28"/>
          <w:szCs w:val="28"/>
        </w:rPr>
      </w:pPr>
    </w:p>
    <w:p>
      <w:pPr>
        <w:spacing w:before="100" w:beforeAutospacing="1" w:after="100" w:afterAutospacing="1" w:line="240" w:lineRule="atLeast"/>
        <w:rPr>
          <w:rFonts w:ascii="宋体" w:hAnsi="宋体"/>
          <w:sz w:val="28"/>
          <w:szCs w:val="28"/>
        </w:rPr>
      </w:pPr>
    </w:p>
    <w:p>
      <w:pPr>
        <w:widowControl/>
        <w:rPr>
          <w:b/>
          <w:bCs/>
          <w:sz w:val="36"/>
          <w:szCs w:val="36"/>
          <w:u w:val="single"/>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65405</wp:posOffset>
            </wp:positionV>
            <wp:extent cx="457200" cy="400050"/>
            <wp:effectExtent l="0" t="0" r="0" b="0"/>
            <wp:wrapNone/>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400050"/>
                    </a:xfrm>
                    <a:prstGeom prst="rect">
                      <a:avLst/>
                    </a:prstGeom>
                    <a:noFill/>
                    <a:ln>
                      <a:noFill/>
                    </a:ln>
                  </pic:spPr>
                </pic:pic>
              </a:graphicData>
            </a:graphic>
          </wp:anchor>
        </w:drawing>
      </w:r>
      <w:r>
        <w:rPr>
          <w:rFonts w:hint="eastAsia" w:hAnsi="宋体"/>
          <w:b/>
          <w:bCs/>
          <w:sz w:val="32"/>
          <w:szCs w:val="32"/>
        </w:rPr>
        <w:t xml:space="preserve">      </w:t>
      </w:r>
      <w:r>
        <w:rPr>
          <w:rFonts w:hint="eastAsia" w:hAnsi="宋体"/>
          <w:b/>
          <w:bCs/>
          <w:sz w:val="36"/>
          <w:szCs w:val="36"/>
        </w:rPr>
        <w:t xml:space="preserve"> </w:t>
      </w:r>
      <w:r>
        <w:rPr>
          <w:rFonts w:hint="eastAsia"/>
          <w:b/>
          <w:bCs/>
          <w:sz w:val="36"/>
          <w:szCs w:val="36"/>
          <w:u w:val="single"/>
        </w:rPr>
        <w:t>服 务 内 容</w:t>
      </w:r>
    </w:p>
    <w:p>
      <w:pPr>
        <w:rPr>
          <w:b/>
          <w:bCs/>
          <w:sz w:val="36"/>
          <w:szCs w:val="36"/>
          <w:u w:val="single"/>
        </w:rPr>
      </w:pPr>
    </w:p>
    <w:p>
      <w:pPr>
        <w:widowControl/>
        <w:rPr>
          <w:b/>
          <w:bCs/>
          <w:sz w:val="32"/>
          <w:szCs w:val="32"/>
        </w:rPr>
      </w:pPr>
      <w:r>
        <w:rPr>
          <w:rFonts w:hint="eastAsia" w:hAnsi="宋体"/>
          <w:b/>
          <w:bCs/>
          <w:sz w:val="32"/>
          <w:szCs w:val="32"/>
        </w:rPr>
        <w:t>工程咨询代理</w:t>
      </w:r>
      <w:r>
        <w:rPr>
          <w:rFonts w:hint="eastAsia"/>
          <w:b/>
          <w:bCs/>
          <w:sz w:val="32"/>
          <w:szCs w:val="32"/>
        </w:rPr>
        <w:t xml:space="preserve"> </w:t>
      </w:r>
    </w:p>
    <w:p>
      <w:pPr>
        <w:widowControl/>
        <w:spacing w:line="900" w:lineRule="exact"/>
        <w:rPr>
          <w:rFonts w:ascii="宋体" w:hAnsi="宋体" w:cs="宋体"/>
          <w:sz w:val="28"/>
          <w:szCs w:val="28"/>
        </w:rPr>
      </w:pPr>
      <w:r>
        <w:rPr>
          <w:rFonts w:hint="eastAsia" w:ascii="宋体" w:hAnsi="宋体" w:cs="宋体"/>
          <w:sz w:val="28"/>
          <w:szCs w:val="28"/>
        </w:rPr>
        <w:t xml:space="preserve"> 1、规划咨询、编制项目建议书</w:t>
      </w:r>
    </w:p>
    <w:p>
      <w:pPr>
        <w:widowControl/>
        <w:spacing w:line="900" w:lineRule="exact"/>
        <w:rPr>
          <w:rFonts w:ascii="宋体" w:hAnsi="宋体" w:cs="宋体"/>
          <w:sz w:val="28"/>
          <w:szCs w:val="28"/>
        </w:rPr>
      </w:pPr>
      <w:r>
        <w:rPr>
          <w:rFonts w:hint="eastAsia" w:ascii="宋体" w:hAnsi="宋体" w:cs="宋体"/>
          <w:sz w:val="28"/>
          <w:szCs w:val="28"/>
        </w:rPr>
        <w:t xml:space="preserve"> 2、编制项目可行性研究报告</w:t>
      </w:r>
    </w:p>
    <w:p>
      <w:pPr>
        <w:widowControl/>
        <w:spacing w:line="900" w:lineRule="exact"/>
        <w:rPr>
          <w:rFonts w:ascii="宋体" w:hAnsi="宋体" w:cs="宋体"/>
          <w:sz w:val="28"/>
          <w:szCs w:val="28"/>
        </w:rPr>
      </w:pPr>
      <w:r>
        <w:rPr>
          <w:rFonts w:hint="eastAsia" w:ascii="宋体" w:hAnsi="宋体" w:cs="宋体"/>
          <w:sz w:val="28"/>
          <w:szCs w:val="28"/>
        </w:rPr>
        <w:t xml:space="preserve"> 3、项目申请报告</w:t>
      </w:r>
    </w:p>
    <w:p>
      <w:pPr>
        <w:widowControl/>
        <w:spacing w:line="900" w:lineRule="exact"/>
        <w:rPr>
          <w:rFonts w:ascii="宋体" w:hAnsi="宋体" w:cs="宋体"/>
          <w:sz w:val="28"/>
          <w:szCs w:val="28"/>
        </w:rPr>
      </w:pPr>
      <w:r>
        <w:rPr>
          <w:rFonts w:hint="eastAsia" w:ascii="宋体" w:hAnsi="宋体" w:cs="宋体"/>
          <w:sz w:val="28"/>
          <w:szCs w:val="28"/>
        </w:rPr>
        <w:t xml:space="preserve"> 4、资金申请报告</w:t>
      </w:r>
    </w:p>
    <w:p>
      <w:pPr>
        <w:widowControl/>
        <w:spacing w:line="900" w:lineRule="exact"/>
        <w:rPr>
          <w:rFonts w:ascii="宋体" w:hAnsi="宋体" w:cs="宋体"/>
          <w:kern w:val="0"/>
          <w:sz w:val="28"/>
          <w:szCs w:val="28"/>
        </w:rPr>
      </w:pPr>
      <w:r>
        <w:rPr>
          <w:rFonts w:hint="eastAsia" w:ascii="宋体" w:hAnsi="宋体" w:cs="宋体"/>
          <w:sz w:val="28"/>
          <w:szCs w:val="28"/>
        </w:rPr>
        <w:t xml:space="preserve"> 5、评估咨询</w:t>
      </w: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rPr>
          <w:b/>
          <w:bCs/>
          <w:sz w:val="36"/>
          <w:szCs w:val="36"/>
          <w:u w:val="single"/>
        </w:rPr>
      </w:pPr>
    </w:p>
    <w:p>
      <w:pPr>
        <w:widowControl/>
        <w:rPr>
          <w:b/>
          <w:bCs/>
          <w:sz w:val="36"/>
          <w:szCs w:val="36"/>
          <w:u w:val="single"/>
        </w:rPr>
      </w:pPr>
      <w:r>
        <w:drawing>
          <wp:anchor distT="0" distB="0" distL="114300" distR="114300" simplePos="0" relativeHeight="251662336" behindDoc="0" locked="0" layoutInCell="1" allowOverlap="1">
            <wp:simplePos x="0" y="0"/>
            <wp:positionH relativeFrom="column">
              <wp:posOffset>28575</wp:posOffset>
            </wp:positionH>
            <wp:positionV relativeFrom="paragraph">
              <wp:posOffset>65405</wp:posOffset>
            </wp:positionV>
            <wp:extent cx="457200" cy="400050"/>
            <wp:effectExtent l="0" t="0" r="0" b="0"/>
            <wp:wrapNone/>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400050"/>
                    </a:xfrm>
                    <a:prstGeom prst="rect">
                      <a:avLst/>
                    </a:prstGeom>
                    <a:noFill/>
                    <a:ln>
                      <a:noFill/>
                    </a:ln>
                  </pic:spPr>
                </pic:pic>
              </a:graphicData>
            </a:graphic>
          </wp:anchor>
        </w:drawing>
      </w:r>
      <w:r>
        <w:rPr>
          <w:rFonts w:hint="eastAsia" w:hAnsi="宋体"/>
          <w:b/>
          <w:bCs/>
          <w:sz w:val="32"/>
          <w:szCs w:val="32"/>
        </w:rPr>
        <w:t xml:space="preserve">      </w:t>
      </w:r>
      <w:r>
        <w:rPr>
          <w:rFonts w:hint="eastAsia" w:hAnsi="宋体"/>
          <w:b/>
          <w:bCs/>
          <w:sz w:val="36"/>
          <w:szCs w:val="36"/>
        </w:rPr>
        <w:t xml:space="preserve"> </w:t>
      </w:r>
      <w:r>
        <w:rPr>
          <w:rFonts w:hint="eastAsia"/>
          <w:b/>
          <w:bCs/>
          <w:sz w:val="36"/>
          <w:szCs w:val="36"/>
          <w:u w:val="single"/>
        </w:rPr>
        <w:t>服 务 内 容</w:t>
      </w:r>
    </w:p>
    <w:p>
      <w:pPr>
        <w:rPr>
          <w:b/>
          <w:bCs/>
          <w:sz w:val="36"/>
          <w:szCs w:val="36"/>
          <w:u w:val="single"/>
        </w:rPr>
      </w:pPr>
    </w:p>
    <w:p>
      <w:pPr>
        <w:spacing w:line="360" w:lineRule="auto"/>
        <w:ind w:left="-619" w:leftChars="-295" w:firstLine="659" w:firstLineChars="205"/>
        <w:jc w:val="left"/>
        <w:rPr>
          <w:rFonts w:ascii="宋体" w:hAnsi="宋体"/>
          <w:b/>
          <w:bCs/>
          <w:sz w:val="30"/>
          <w:szCs w:val="30"/>
        </w:rPr>
      </w:pPr>
      <w:r>
        <w:rPr>
          <w:rFonts w:hint="eastAsia" w:ascii="宋体" w:hAnsi="宋体"/>
          <w:b/>
          <w:bCs/>
          <w:sz w:val="32"/>
          <w:szCs w:val="32"/>
        </w:rPr>
        <w:t xml:space="preserve">招标代理服务   （乙级）  </w:t>
      </w:r>
      <w:r>
        <w:rPr>
          <w:rFonts w:hint="eastAsia" w:ascii="宋体" w:hAnsi="宋体"/>
          <w:b/>
          <w:bCs/>
          <w:sz w:val="30"/>
          <w:szCs w:val="30"/>
        </w:rPr>
        <w:t xml:space="preserve">     </w:t>
      </w:r>
    </w:p>
    <w:p>
      <w:pPr>
        <w:spacing w:before="100" w:beforeAutospacing="1" w:after="100" w:afterAutospacing="1" w:line="240" w:lineRule="atLeast"/>
        <w:outlineLvl w:val="0"/>
        <w:rPr>
          <w:rFonts w:ascii="宋体" w:hAnsi="宋体"/>
          <w:bCs/>
          <w:sz w:val="28"/>
          <w:szCs w:val="28"/>
        </w:rPr>
      </w:pPr>
      <w:r>
        <w:rPr>
          <w:rFonts w:hint="eastAsia" w:ascii="宋体" w:hAnsi="宋体"/>
          <w:bCs/>
          <w:sz w:val="28"/>
          <w:szCs w:val="28"/>
        </w:rPr>
        <w:t>1、可承接工程总投资1亿元人民币以下的勘察招标代理业务</w:t>
      </w:r>
    </w:p>
    <w:p>
      <w:pPr>
        <w:spacing w:before="100" w:beforeAutospacing="1" w:after="100" w:afterAutospacing="1" w:line="240" w:lineRule="atLeast"/>
        <w:rPr>
          <w:rFonts w:ascii="宋体" w:hAnsi="宋体"/>
          <w:bCs/>
          <w:sz w:val="28"/>
          <w:szCs w:val="28"/>
        </w:rPr>
      </w:pPr>
      <w:r>
        <w:rPr>
          <w:rFonts w:hint="eastAsia" w:ascii="宋体" w:hAnsi="宋体"/>
          <w:bCs/>
          <w:sz w:val="28"/>
          <w:szCs w:val="28"/>
        </w:rPr>
        <w:t>2、可承接工程总投资1亿元人民币以下的设计招标代理业务</w:t>
      </w:r>
    </w:p>
    <w:p>
      <w:pPr>
        <w:spacing w:before="100" w:beforeAutospacing="1" w:after="100" w:afterAutospacing="1" w:line="240" w:lineRule="atLeast"/>
        <w:outlineLvl w:val="0"/>
        <w:rPr>
          <w:rFonts w:ascii="宋体" w:hAnsi="宋体"/>
          <w:bCs/>
          <w:sz w:val="28"/>
          <w:szCs w:val="28"/>
        </w:rPr>
      </w:pPr>
      <w:r>
        <w:rPr>
          <w:rFonts w:hint="eastAsia" w:ascii="宋体" w:hAnsi="宋体"/>
          <w:bCs/>
          <w:sz w:val="28"/>
          <w:szCs w:val="28"/>
        </w:rPr>
        <w:t>3、可承接工程总投资1亿元人民币以下的施工招标代理业务</w:t>
      </w:r>
    </w:p>
    <w:p>
      <w:pPr>
        <w:spacing w:before="100" w:beforeAutospacing="1" w:after="100" w:afterAutospacing="1" w:line="240" w:lineRule="atLeast"/>
        <w:rPr>
          <w:rFonts w:ascii="宋体" w:hAnsi="宋体"/>
          <w:bCs/>
          <w:sz w:val="28"/>
          <w:szCs w:val="28"/>
        </w:rPr>
      </w:pPr>
      <w:r>
        <w:rPr>
          <w:rFonts w:hint="eastAsia" w:ascii="宋体" w:hAnsi="宋体"/>
          <w:bCs/>
          <w:sz w:val="28"/>
          <w:szCs w:val="28"/>
        </w:rPr>
        <w:t>4、可承接工程总投资1亿元人民币以下的监理招标代理业务</w:t>
      </w:r>
    </w:p>
    <w:p>
      <w:pPr>
        <w:spacing w:before="100" w:beforeAutospacing="1" w:after="100" w:afterAutospacing="1" w:line="240" w:lineRule="atLeast"/>
        <w:rPr>
          <w:rFonts w:ascii="宋体" w:hAnsi="宋体"/>
          <w:bCs/>
          <w:sz w:val="28"/>
          <w:szCs w:val="28"/>
        </w:rPr>
      </w:pPr>
      <w:r>
        <w:rPr>
          <w:rFonts w:hint="eastAsia" w:ascii="宋体" w:hAnsi="宋体"/>
          <w:bCs/>
          <w:sz w:val="28"/>
          <w:szCs w:val="28"/>
        </w:rPr>
        <w:t>5、可承接与工程建设有关的线路管道、设备安装工程及装饰装修工程的招标代   理业务</w:t>
      </w:r>
    </w:p>
    <w:p>
      <w:pPr>
        <w:spacing w:before="100" w:beforeAutospacing="1" w:after="100" w:afterAutospacing="1" w:line="240" w:lineRule="atLeast"/>
        <w:rPr>
          <w:rFonts w:ascii="宋体" w:hAnsi="宋体"/>
          <w:bCs/>
          <w:sz w:val="28"/>
          <w:szCs w:val="28"/>
        </w:rPr>
      </w:pPr>
      <w:r>
        <w:rPr>
          <w:rFonts w:hint="eastAsia" w:ascii="宋体" w:hAnsi="宋体"/>
          <w:bCs/>
          <w:sz w:val="28"/>
          <w:szCs w:val="28"/>
        </w:rPr>
        <w:t>6、可承接材料采购招标代理业务</w:t>
      </w:r>
    </w:p>
    <w:p>
      <w:pPr>
        <w:spacing w:before="100" w:beforeAutospacing="1" w:after="100" w:afterAutospacing="1" w:line="240" w:lineRule="atLeast"/>
        <w:rPr>
          <w:rFonts w:ascii="宋体" w:hAnsi="宋体"/>
          <w:bCs/>
          <w:sz w:val="28"/>
          <w:szCs w:val="28"/>
        </w:rPr>
      </w:pPr>
      <w:r>
        <w:rPr>
          <w:rFonts w:hint="eastAsia" w:ascii="宋体" w:hAnsi="宋体"/>
          <w:bCs/>
          <w:sz w:val="28"/>
          <w:szCs w:val="28"/>
        </w:rPr>
        <w:t>7、可承接（非集中采购目录）财政性资金建设的工程、货物采购、服务等由财政局备案监督的采购项目及工程的招标代理业务</w:t>
      </w:r>
    </w:p>
    <w:p>
      <w:pPr>
        <w:spacing w:before="100" w:beforeAutospacing="1" w:after="100" w:afterAutospacing="1" w:line="240" w:lineRule="atLeast"/>
        <w:rPr>
          <w:rFonts w:ascii="宋体" w:hAnsi="宋体"/>
          <w:bCs/>
          <w:sz w:val="28"/>
          <w:szCs w:val="28"/>
        </w:rPr>
      </w:pPr>
    </w:p>
    <w:p>
      <w:pPr>
        <w:spacing w:before="100" w:beforeAutospacing="1" w:after="100" w:afterAutospacing="1" w:line="240" w:lineRule="atLeast"/>
        <w:rPr>
          <w:rFonts w:ascii="宋体" w:hAnsi="宋体"/>
          <w:b/>
          <w:sz w:val="24"/>
        </w:rPr>
      </w:pPr>
    </w:p>
    <w:p>
      <w:pPr>
        <w:spacing w:before="100" w:beforeAutospacing="1" w:after="100" w:afterAutospacing="1" w:line="240" w:lineRule="atLeast"/>
        <w:rPr>
          <w:rFonts w:ascii="宋体" w:hAnsi="宋体"/>
          <w:b/>
          <w:sz w:val="24"/>
        </w:rPr>
      </w:pPr>
    </w:p>
    <w:p>
      <w:pPr>
        <w:spacing w:before="100" w:beforeAutospacing="1" w:after="100" w:afterAutospacing="1" w:line="240" w:lineRule="atLeast"/>
        <w:rPr>
          <w:rFonts w:ascii="宋体" w:hAnsi="宋体"/>
          <w:b/>
          <w:sz w:val="24"/>
        </w:rPr>
      </w:pPr>
    </w:p>
    <w:p>
      <w:pPr>
        <w:spacing w:before="100" w:beforeAutospacing="1" w:after="100" w:afterAutospacing="1" w:line="240" w:lineRule="atLeast"/>
        <w:rPr>
          <w:rFonts w:ascii="宋体" w:hAnsi="宋体" w:cs="宋体"/>
          <w:b/>
          <w:sz w:val="28"/>
          <w:szCs w:val="28"/>
        </w:rPr>
      </w:pPr>
      <w:bookmarkStart w:id="1" w:name="OLE_LINK58"/>
      <w:r>
        <w:rPr>
          <w:rFonts w:hint="eastAsia" w:hAnsi="宋体"/>
          <w:b/>
          <w:bCs/>
          <w:sz w:val="32"/>
          <w:szCs w:val="32"/>
        </w:rPr>
        <w:t xml:space="preserve"> </w:t>
      </w:r>
      <w:bookmarkEnd w:id="1"/>
    </w:p>
    <w:p>
      <w:pPr>
        <w:rPr>
          <w:b/>
          <w:sz w:val="28"/>
          <w:szCs w:val="28"/>
        </w:rPr>
      </w:pPr>
      <w:bookmarkStart w:id="2" w:name="OLE_LINK3"/>
      <w:r>
        <w:rPr>
          <w:rFonts w:hint="eastAsia"/>
          <w:sz w:val="18"/>
          <w:szCs w:val="18"/>
        </w:rPr>
        <w:t xml:space="preserve">  </w:t>
      </w:r>
      <w:bookmarkEnd w:id="2"/>
      <w:bookmarkStart w:id="3" w:name="OLE_LINK1"/>
      <w:r>
        <w:rPr>
          <w:sz w:val="18"/>
          <w:szCs w:val="18"/>
        </w:rPr>
        <w:drawing>
          <wp:inline distT="0" distB="0" distL="0" distR="0">
            <wp:extent cx="457200" cy="394335"/>
            <wp:effectExtent l="0" t="0" r="0" b="571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394335"/>
                    </a:xfrm>
                    <a:prstGeom prst="rect">
                      <a:avLst/>
                    </a:prstGeom>
                    <a:noFill/>
                    <a:ln>
                      <a:noFill/>
                    </a:ln>
                  </pic:spPr>
                </pic:pic>
              </a:graphicData>
            </a:graphic>
          </wp:inline>
        </w:drawing>
      </w:r>
      <w:r>
        <w:rPr>
          <w:rFonts w:hint="eastAsia"/>
          <w:sz w:val="18"/>
          <w:szCs w:val="18"/>
        </w:rPr>
        <w:t xml:space="preserve">    </w:t>
      </w:r>
      <w:r>
        <w:rPr>
          <w:rFonts w:hint="eastAsia" w:ascii="宋体" w:hAnsi="宋体" w:cs="宋体"/>
          <w:b/>
          <w:kern w:val="0"/>
          <w:sz w:val="36"/>
          <w:szCs w:val="36"/>
          <w:u w:val="thick"/>
        </w:rPr>
        <w:t>企 业 业 绩</w:t>
      </w:r>
    </w:p>
    <w:p>
      <w:pPr>
        <w:tabs>
          <w:tab w:val="center" w:pos="3780"/>
          <w:tab w:val="center" w:pos="4320"/>
        </w:tabs>
        <w:spacing w:line="400" w:lineRule="exact"/>
        <w:ind w:firstLine="2811" w:firstLineChars="1000"/>
        <w:jc w:val="both"/>
        <w:rPr>
          <w:b/>
          <w:sz w:val="28"/>
          <w:szCs w:val="28"/>
        </w:rPr>
      </w:pPr>
      <w:r>
        <w:rPr>
          <w:rFonts w:hint="eastAsia"/>
          <w:b/>
          <w:sz w:val="28"/>
          <w:szCs w:val="28"/>
        </w:rPr>
        <w:t>1、</w:t>
      </w:r>
      <w:r>
        <w:rPr>
          <w:rFonts w:hint="eastAsia"/>
          <w:b/>
          <w:sz w:val="28"/>
          <w:szCs w:val="28"/>
          <w:lang w:eastAsia="zh-CN"/>
        </w:rPr>
        <w:t>工</w:t>
      </w:r>
      <w:r>
        <w:rPr>
          <w:rFonts w:hint="eastAsia"/>
          <w:b/>
          <w:sz w:val="28"/>
          <w:szCs w:val="28"/>
        </w:rPr>
        <w:t>程</w:t>
      </w:r>
      <w:r>
        <w:rPr>
          <w:rFonts w:hint="eastAsia"/>
          <w:b/>
          <w:sz w:val="28"/>
          <w:szCs w:val="28"/>
          <w:lang w:eastAsia="zh-CN"/>
        </w:rPr>
        <w:t>造价</w:t>
      </w:r>
      <w:r>
        <w:rPr>
          <w:rFonts w:hint="eastAsia"/>
          <w:b/>
          <w:sz w:val="28"/>
          <w:szCs w:val="28"/>
        </w:rPr>
        <w:t>部分业绩一览表</w:t>
      </w:r>
    </w:p>
    <w:tbl>
      <w:tblPr>
        <w:tblStyle w:val="10"/>
        <w:tblpPr w:leftFromText="180" w:rightFromText="180" w:vertAnchor="text" w:horzAnchor="page" w:tblpX="1200" w:tblpY="2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090"/>
        <w:gridCol w:w="1871"/>
        <w:gridCol w:w="184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tabs>
                <w:tab w:val="center" w:pos="3780"/>
                <w:tab w:val="center" w:pos="4320"/>
              </w:tabs>
              <w:spacing w:line="500" w:lineRule="exact"/>
              <w:jc w:val="center"/>
              <w:rPr>
                <w:b/>
                <w:sz w:val="28"/>
              </w:rPr>
            </w:pPr>
            <w:r>
              <w:rPr>
                <w:rFonts w:hint="eastAsia"/>
                <w:b/>
                <w:sz w:val="28"/>
              </w:rPr>
              <w:t>序号</w:t>
            </w:r>
          </w:p>
        </w:tc>
        <w:tc>
          <w:tcPr>
            <w:tcW w:w="3090" w:type="dxa"/>
            <w:vAlign w:val="center"/>
          </w:tcPr>
          <w:p>
            <w:pPr>
              <w:tabs>
                <w:tab w:val="center" w:pos="3780"/>
                <w:tab w:val="center" w:pos="4320"/>
              </w:tabs>
              <w:spacing w:line="500" w:lineRule="exact"/>
              <w:jc w:val="center"/>
              <w:rPr>
                <w:b/>
                <w:sz w:val="28"/>
              </w:rPr>
            </w:pPr>
            <w:r>
              <w:rPr>
                <w:rFonts w:hint="eastAsia"/>
                <w:b/>
                <w:sz w:val="28"/>
              </w:rPr>
              <w:t>项目名称</w:t>
            </w:r>
          </w:p>
        </w:tc>
        <w:tc>
          <w:tcPr>
            <w:tcW w:w="1871" w:type="dxa"/>
            <w:vAlign w:val="center"/>
          </w:tcPr>
          <w:p>
            <w:pPr>
              <w:tabs>
                <w:tab w:val="center" w:pos="3780"/>
                <w:tab w:val="center" w:pos="4320"/>
              </w:tabs>
              <w:spacing w:line="500" w:lineRule="exact"/>
              <w:jc w:val="center"/>
              <w:rPr>
                <w:b/>
                <w:sz w:val="28"/>
              </w:rPr>
            </w:pPr>
            <w:r>
              <w:rPr>
                <w:rFonts w:hint="eastAsia"/>
                <w:b/>
                <w:sz w:val="28"/>
              </w:rPr>
              <w:t>项目规模</w:t>
            </w:r>
          </w:p>
        </w:tc>
        <w:tc>
          <w:tcPr>
            <w:tcW w:w="1843" w:type="dxa"/>
            <w:vAlign w:val="center"/>
          </w:tcPr>
          <w:p>
            <w:pPr>
              <w:tabs>
                <w:tab w:val="center" w:pos="3780"/>
                <w:tab w:val="center" w:pos="4320"/>
              </w:tabs>
              <w:spacing w:line="500" w:lineRule="exact"/>
              <w:jc w:val="center"/>
              <w:rPr>
                <w:b/>
                <w:sz w:val="28"/>
              </w:rPr>
            </w:pPr>
            <w:r>
              <w:rPr>
                <w:rFonts w:hint="eastAsia"/>
                <w:b/>
                <w:sz w:val="28"/>
              </w:rPr>
              <w:t>造价金额</w:t>
            </w:r>
          </w:p>
          <w:p>
            <w:pPr>
              <w:tabs>
                <w:tab w:val="center" w:pos="3780"/>
                <w:tab w:val="center" w:pos="4320"/>
              </w:tabs>
              <w:spacing w:line="500" w:lineRule="exact"/>
              <w:jc w:val="center"/>
              <w:rPr>
                <w:b/>
                <w:sz w:val="28"/>
              </w:rPr>
            </w:pPr>
            <w:r>
              <w:rPr>
                <w:rFonts w:hint="eastAsia"/>
                <w:b/>
                <w:sz w:val="28"/>
              </w:rPr>
              <w:t>（万元）</w:t>
            </w:r>
          </w:p>
        </w:tc>
        <w:tc>
          <w:tcPr>
            <w:tcW w:w="1985" w:type="dxa"/>
            <w:vAlign w:val="center"/>
          </w:tcPr>
          <w:p>
            <w:pPr>
              <w:tabs>
                <w:tab w:val="center" w:pos="3780"/>
                <w:tab w:val="center" w:pos="4320"/>
              </w:tabs>
              <w:spacing w:line="500" w:lineRule="exact"/>
              <w:jc w:val="center"/>
              <w:rPr>
                <w:b/>
                <w:sz w:val="28"/>
              </w:rPr>
            </w:pPr>
            <w:r>
              <w:rPr>
                <w:rFonts w:hint="eastAsia"/>
                <w:b/>
                <w:sz w:val="28"/>
              </w:rPr>
              <w:t>委托单位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090" w:type="dxa"/>
            <w:vAlign w:val="center"/>
          </w:tcPr>
          <w:p>
            <w:pPr>
              <w:widowControl/>
              <w:jc w:val="center"/>
              <w:rPr>
                <w:rFonts w:ascii="宋体" w:hAnsi="宋体" w:cs="宋体"/>
                <w:color w:val="000000"/>
                <w:kern w:val="0"/>
                <w:sz w:val="22"/>
                <w:szCs w:val="22"/>
              </w:rPr>
            </w:pPr>
            <w:r>
              <w:rPr>
                <w:rFonts w:hint="eastAsia" w:ascii="宋体" w:hAnsi="宋体"/>
                <w:sz w:val="24"/>
              </w:rPr>
              <w:t>乌鲁木齐检验检测认证产业园PPP项目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452063㎡</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309591.00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乌鲁木齐高新区（新市区）审计局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17"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lang w:val="en-US" w:eastAsia="zh-CN"/>
              </w:rPr>
              <w:t>2</w:t>
            </w:r>
          </w:p>
        </w:tc>
        <w:tc>
          <w:tcPr>
            <w:tcW w:w="3090"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中国电信高新区（新市区）视频监控2017年、2018年运行维护服务</w:t>
            </w:r>
          </w:p>
        </w:tc>
        <w:tc>
          <w:tcPr>
            <w:tcW w:w="1871"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竣工决算</w:t>
            </w:r>
          </w:p>
        </w:tc>
        <w:tc>
          <w:tcPr>
            <w:tcW w:w="1843"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34240万元</w:t>
            </w:r>
          </w:p>
        </w:tc>
        <w:tc>
          <w:tcPr>
            <w:tcW w:w="1985"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乌鲁木齐高新区（新市区）审计局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7"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lang w:val="en-US" w:eastAsia="zh-CN"/>
              </w:rPr>
              <w:t>3</w:t>
            </w:r>
          </w:p>
        </w:tc>
        <w:tc>
          <w:tcPr>
            <w:tcW w:w="3090"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一体化链路自建光纤采购项目</w:t>
            </w:r>
          </w:p>
        </w:tc>
        <w:tc>
          <w:tcPr>
            <w:tcW w:w="1871"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竣工决算</w:t>
            </w:r>
          </w:p>
        </w:tc>
        <w:tc>
          <w:tcPr>
            <w:tcW w:w="1843"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3220万元</w:t>
            </w:r>
          </w:p>
        </w:tc>
        <w:tc>
          <w:tcPr>
            <w:tcW w:w="1985"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和田市公安局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17"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lang w:val="en-US" w:eastAsia="zh-CN"/>
              </w:rPr>
              <w:t>4</w:t>
            </w:r>
          </w:p>
        </w:tc>
        <w:tc>
          <w:tcPr>
            <w:tcW w:w="3090"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石河子市“平安石城”建设PPP项目</w:t>
            </w:r>
          </w:p>
        </w:tc>
        <w:tc>
          <w:tcPr>
            <w:tcW w:w="1871"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竣工决算</w:t>
            </w:r>
          </w:p>
        </w:tc>
        <w:tc>
          <w:tcPr>
            <w:tcW w:w="1843"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40000万元</w:t>
            </w:r>
          </w:p>
        </w:tc>
        <w:tc>
          <w:tcPr>
            <w:tcW w:w="1985" w:type="dxa"/>
            <w:vAlign w:val="top"/>
          </w:tcPr>
          <w:p>
            <w:pPr>
              <w:spacing w:line="400" w:lineRule="exact"/>
              <w:jc w:val="center"/>
              <w:rPr>
                <w:rFonts w:hint="eastAsia" w:cs="宋体" w:asciiTheme="minorEastAsia" w:hAnsiTheme="minorEastAsia" w:eastAsiaTheme="minorEastAsia"/>
                <w:color w:val="000000"/>
                <w:kern w:val="2"/>
                <w:sz w:val="24"/>
                <w:szCs w:val="24"/>
                <w:lang w:val="en-US" w:eastAsia="zh-CN" w:bidi="ar-SA"/>
              </w:rPr>
            </w:pPr>
            <w:r>
              <w:rPr>
                <w:rFonts w:hint="eastAsia" w:cs="宋体" w:asciiTheme="minorEastAsia" w:hAnsiTheme="minorEastAsia" w:eastAsiaTheme="minorEastAsia"/>
                <w:color w:val="000000"/>
                <w:sz w:val="24"/>
              </w:rPr>
              <w:t>新疆大华智信信息技术有限责任公司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5</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G577线墩麻扎至旱田段建设项目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7625.45M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29000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新疆维吾尔自治区交通运输厅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6</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石河子、博乐公路管理局2015年公路大中修项目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3756.91M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8077.16</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新疆维吾尔自治区公路管理局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7</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乌鲁木齐市河滩路道路罩面改建工程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179.65KM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25980.35</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8</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G216线红山嘴口岸至阿勒泰公路建设项目全过程跟踪审计</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174.95Km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220000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阿勒泰交通建设投资发展有限公司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9</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2012-2013年和田地区策勒县乡村通油道路</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2683.32M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7310.91</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和田地区策勒县审计局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博乐市锦绣路延伸段道路工程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1946.60M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5422.31</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博乐市审计局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11</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博乐市纬三路道路及给排水管网工程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2552.55M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2505.80 </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博乐市审计局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12</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2012年会展大道整体提升工程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绿化212165㎡</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2510.87</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13</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乌鲁木齐经济开发区（头屯河区）中亚大道、卫星路园区开发项目工程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4213.5M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10538.92</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乌鲁木齐经济技术开发区（头屯河区）审计局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14</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白鸟湖新区二号台地绿化项目18、19号绿地绿化工程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1681㎡</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7625.65</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乌鲁木齐经济技术开发区（头屯河区）审计局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15</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乌鲁木齐经济技术开发区十二师合作区（104团部分）经三路市政工程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1004.83M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2330.18</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乌鲁木齐经济技术开发区（头屯河区）审计局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16</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乌鲁木齐县体育休闲产业徒步道建设</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867.56M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2226.66</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乌鲁木齐县审计局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17</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石河子市“平安石城”建设PPP项目工程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第八师审计局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18</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石河子市气象局防灾减灾预警中心全过程 </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354㎡</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2777.34</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石河子市财政投资评审中心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19</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乌鲁木齐市中山路机械立体停车库一期工程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37216.12m²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3499.49</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乌鲁木齐市审计局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20</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阜康市城关镇龙王庙村农民集资楼建设项目，包括电梯、电、供水、暖设备、文化室建设项目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23184.71m²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5113.93</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阜康市城关镇龙王庙村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21</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伊犁州友谊医院开发区分院（现代医院）建设项目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24780m²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12055.90 </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伊犁哈萨克自治州审计局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22</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新疆科学院（阿克苏)一期工程建设项目-1#2#3#4#教学楼及其走廊工程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9857m²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4512.32</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阿克苏审计局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23</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八师石河子市统建房三期建设项目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86241.65m²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八师石河子市审计局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24</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石河子老年福利中心</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5698m²</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2242.07</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石河子市财政投资评审中心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25</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石河子市61小区旧城改造异地安置房项目三期20#~26#楼、地下车库</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111611㎡</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21656</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石河子市城建房地产开发有限公司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26</w:t>
            </w:r>
          </w:p>
        </w:tc>
        <w:tc>
          <w:tcPr>
            <w:tcW w:w="3090" w:type="dxa"/>
            <w:vAlign w:val="center"/>
          </w:tcPr>
          <w:p>
            <w:pPr>
              <w:widowControl/>
              <w:jc w:val="center"/>
              <w:rPr>
                <w:rFonts w:ascii="宋体" w:hAnsi="宋体" w:cs="宋体"/>
                <w:kern w:val="0"/>
                <w:sz w:val="22"/>
                <w:szCs w:val="22"/>
              </w:rPr>
            </w:pPr>
            <w:r>
              <w:rPr>
                <w:rFonts w:hint="eastAsia" w:ascii="宋体" w:hAnsi="宋体" w:cs="宋体"/>
                <w:kern w:val="0"/>
                <w:sz w:val="22"/>
                <w:szCs w:val="22"/>
              </w:rPr>
              <w:t>墨玉县喀尔赛干渠上、下段节水改造工程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562m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6131.00 </w:t>
            </w:r>
          </w:p>
        </w:tc>
        <w:tc>
          <w:tcPr>
            <w:tcW w:w="1985" w:type="dxa"/>
            <w:vAlign w:val="center"/>
          </w:tcPr>
          <w:p>
            <w:pPr>
              <w:widowControl/>
              <w:jc w:val="center"/>
              <w:rPr>
                <w:rFonts w:ascii="宋体" w:hAnsi="宋体" w:cs="宋体"/>
                <w:kern w:val="0"/>
                <w:sz w:val="22"/>
                <w:szCs w:val="22"/>
              </w:rPr>
            </w:pPr>
            <w:r>
              <w:rPr>
                <w:rFonts w:hint="eastAsia" w:ascii="宋体" w:hAnsi="宋体" w:cs="宋体"/>
                <w:kern w:val="0"/>
                <w:sz w:val="22"/>
                <w:szCs w:val="22"/>
              </w:rPr>
              <w:t>新疆维吾尔自治区审计厅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27</w:t>
            </w:r>
          </w:p>
        </w:tc>
        <w:tc>
          <w:tcPr>
            <w:tcW w:w="3090" w:type="dxa"/>
            <w:vAlign w:val="center"/>
          </w:tcPr>
          <w:p>
            <w:pPr>
              <w:widowControl/>
              <w:jc w:val="center"/>
              <w:rPr>
                <w:rFonts w:ascii="宋体" w:hAnsi="宋体" w:cs="宋体"/>
                <w:kern w:val="0"/>
                <w:sz w:val="22"/>
                <w:szCs w:val="22"/>
              </w:rPr>
            </w:pPr>
            <w:r>
              <w:rPr>
                <w:rFonts w:hint="eastAsia" w:ascii="宋体" w:hAnsi="宋体" w:cs="宋体"/>
                <w:kern w:val="0"/>
                <w:sz w:val="22"/>
                <w:szCs w:val="22"/>
              </w:rPr>
              <w:t>巴楚县卫星水库除险加固工程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水库坝长11.1km，坝高4.5m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3478.06</w:t>
            </w:r>
          </w:p>
        </w:tc>
        <w:tc>
          <w:tcPr>
            <w:tcW w:w="1985" w:type="dxa"/>
            <w:vAlign w:val="center"/>
          </w:tcPr>
          <w:p>
            <w:pPr>
              <w:widowControl/>
              <w:jc w:val="center"/>
              <w:rPr>
                <w:rFonts w:ascii="宋体" w:hAnsi="宋体" w:cs="宋体"/>
                <w:kern w:val="0"/>
                <w:sz w:val="22"/>
                <w:szCs w:val="22"/>
              </w:rPr>
            </w:pPr>
            <w:r>
              <w:rPr>
                <w:rFonts w:hint="eastAsia" w:ascii="宋体" w:hAnsi="宋体" w:cs="宋体"/>
                <w:kern w:val="0"/>
                <w:sz w:val="22"/>
                <w:szCs w:val="22"/>
              </w:rPr>
              <w:t>新疆维吾尔自治区审计厅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28</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喀什河渠首水闸除险加固工程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27km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2501.89 </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新疆水利厅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29</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玉龙喀什河枢纽水闸除险加固工程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23km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2423.08 </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新疆水利厅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30</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2014年市区道路建设工程配套交通设施；玛纳斯灌区2012年续建配套与节水等</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3324.63</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石河子财政投评中心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31</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石河子市蘑引渠改造一期（南三路-北二路）建设—移交（BT）项目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2.9KM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13952.5</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石河子市财政投资评审中心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32</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艾里克它木枢纽进水闸工程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阀室68.4m，高5.5m</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2801.25</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新疆生产建设兵团第三师水利工程建设管理处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33</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新疆天富热电股份有限公司20MW光伏并网电站项目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29843100㎡</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15824.94</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石河子审计局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34</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九州方园博乐七期60MW光伏并网发电项目110KV升压站</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1795000㎡</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1120.2</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湖北金湖建设工程有限公司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35</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2015年度土地整治工程复核技术服务项目（塔城市、额敏县）</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30623.33</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新疆维吾尔自治区土地开发整理建设管理局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36</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2015年度第二批土地整治工程复核技术服务项目（沙雅县、阿瓦提县、拜城县、柯坪县、温宿县）</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20393.33</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新疆维吾尔自治区土地开发整理建设管理局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37</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2015年度自治区本级第二批喀什地区莎车县、岳普湖县、麦盖提县、疏勒县、伽师县境内6个项目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11943.21</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新疆维吾尔自治区土地开发整理建设管理局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38</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策勒县2017年农村公路“建养一体化”建设项目全过程跟踪审计（三标段）</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13000.00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策勒县人民政府交通运输局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39</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伊犁河谷地土地开发整理重大工程新源县那拉提灌区那拉提镇土地整治项目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8462.76</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伊犁哈萨克自治州征地整理中心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40</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2014年阿勒泰地区2个土地整理项目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阿勒泰地区土地开发整理中心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41</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奇台县吉布库镇上堡子村、半截沟镇川坝村高标准基本农田建设项目</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2213.34</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呼图壁县国土资源局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42</w:t>
            </w:r>
          </w:p>
        </w:tc>
        <w:tc>
          <w:tcPr>
            <w:tcW w:w="3090"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和田市昆仑湖公园景观改造工程</w:t>
            </w:r>
          </w:p>
        </w:tc>
        <w:tc>
          <w:tcPr>
            <w:tcW w:w="187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843"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14000.00</w:t>
            </w:r>
          </w:p>
        </w:tc>
        <w:tc>
          <w:tcPr>
            <w:tcW w:w="1985"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和田市城乡和住房建设局</w:t>
            </w:r>
          </w:p>
        </w:tc>
      </w:tr>
    </w:tbl>
    <w:p>
      <w:pPr>
        <w:tabs>
          <w:tab w:val="center" w:pos="3780"/>
          <w:tab w:val="center" w:pos="4320"/>
        </w:tabs>
        <w:spacing w:line="400" w:lineRule="exact"/>
        <w:jc w:val="center"/>
        <w:rPr>
          <w:b/>
          <w:sz w:val="28"/>
          <w:szCs w:val="28"/>
        </w:rPr>
      </w:pPr>
    </w:p>
    <w:p>
      <w:pPr>
        <w:tabs>
          <w:tab w:val="center" w:pos="3780"/>
          <w:tab w:val="center" w:pos="4320"/>
        </w:tabs>
        <w:spacing w:line="400" w:lineRule="exact"/>
        <w:jc w:val="center"/>
        <w:rPr>
          <w:b/>
          <w:sz w:val="28"/>
          <w:szCs w:val="28"/>
        </w:rPr>
      </w:pPr>
    </w:p>
    <w:p>
      <w:pPr>
        <w:tabs>
          <w:tab w:val="center" w:pos="3780"/>
          <w:tab w:val="center" w:pos="4320"/>
        </w:tabs>
        <w:spacing w:line="400" w:lineRule="exact"/>
        <w:jc w:val="center"/>
        <w:rPr>
          <w:b/>
          <w:sz w:val="28"/>
          <w:szCs w:val="28"/>
        </w:rPr>
      </w:pPr>
    </w:p>
    <w:p>
      <w:pPr>
        <w:tabs>
          <w:tab w:val="center" w:pos="3780"/>
          <w:tab w:val="center" w:pos="4320"/>
        </w:tabs>
        <w:spacing w:line="400" w:lineRule="exact"/>
        <w:jc w:val="center"/>
        <w:rPr>
          <w:b/>
          <w:sz w:val="28"/>
          <w:szCs w:val="28"/>
        </w:rPr>
      </w:pPr>
    </w:p>
    <w:p>
      <w:pPr>
        <w:tabs>
          <w:tab w:val="center" w:pos="3780"/>
          <w:tab w:val="center" w:pos="4320"/>
        </w:tabs>
        <w:spacing w:line="400" w:lineRule="exact"/>
        <w:jc w:val="center"/>
        <w:rPr>
          <w:b/>
          <w:sz w:val="28"/>
          <w:szCs w:val="28"/>
        </w:rPr>
      </w:pPr>
    </w:p>
    <w:p>
      <w:pPr>
        <w:tabs>
          <w:tab w:val="center" w:pos="3780"/>
          <w:tab w:val="center" w:pos="4320"/>
        </w:tabs>
        <w:spacing w:line="500" w:lineRule="exact"/>
        <w:jc w:val="center"/>
        <w:rPr>
          <w:b/>
          <w:sz w:val="28"/>
          <w:szCs w:val="28"/>
        </w:rPr>
      </w:pPr>
    </w:p>
    <w:bookmarkEnd w:id="3"/>
    <w:p>
      <w:pPr>
        <w:tabs>
          <w:tab w:val="center" w:pos="3780"/>
          <w:tab w:val="center" w:pos="4320"/>
        </w:tabs>
        <w:rPr>
          <w:b/>
          <w:sz w:val="28"/>
          <w:szCs w:val="28"/>
        </w:rPr>
      </w:pPr>
    </w:p>
    <w:p>
      <w:pPr>
        <w:tabs>
          <w:tab w:val="center" w:pos="3780"/>
          <w:tab w:val="center" w:pos="4320"/>
        </w:tabs>
        <w:rPr>
          <w:b/>
          <w:sz w:val="28"/>
          <w:szCs w:val="28"/>
        </w:rPr>
      </w:pPr>
    </w:p>
    <w:p>
      <w:pPr>
        <w:tabs>
          <w:tab w:val="center" w:pos="3780"/>
          <w:tab w:val="center" w:pos="4320"/>
        </w:tabs>
        <w:rPr>
          <w:b/>
          <w:sz w:val="28"/>
          <w:szCs w:val="28"/>
        </w:rPr>
      </w:pPr>
    </w:p>
    <w:p>
      <w:pPr>
        <w:tabs>
          <w:tab w:val="center" w:pos="3780"/>
          <w:tab w:val="center" w:pos="4320"/>
        </w:tabs>
        <w:spacing w:line="500" w:lineRule="exact"/>
        <w:ind w:firstLine="3373" w:firstLineChars="1200"/>
        <w:jc w:val="both"/>
        <w:rPr>
          <w:b/>
          <w:sz w:val="28"/>
          <w:szCs w:val="28"/>
        </w:rPr>
      </w:pPr>
      <w:r>
        <w:rPr>
          <w:rFonts w:hint="eastAsia"/>
          <w:b/>
          <w:sz w:val="28"/>
          <w:szCs w:val="28"/>
          <w:lang w:val="en-US" w:eastAsia="zh-CN"/>
        </w:rPr>
        <w:t>2</w:t>
      </w:r>
      <w:r>
        <w:rPr>
          <w:rFonts w:hint="eastAsia"/>
          <w:b/>
          <w:sz w:val="28"/>
          <w:szCs w:val="28"/>
        </w:rPr>
        <w:t>、</w:t>
      </w:r>
      <w:r>
        <w:rPr>
          <w:rFonts w:hint="eastAsia"/>
          <w:b/>
          <w:sz w:val="28"/>
          <w:szCs w:val="28"/>
          <w:lang w:eastAsia="zh-CN"/>
        </w:rPr>
        <w:t>咨询类</w:t>
      </w:r>
      <w:r>
        <w:rPr>
          <w:rFonts w:hint="eastAsia"/>
          <w:b/>
          <w:sz w:val="28"/>
          <w:szCs w:val="28"/>
        </w:rPr>
        <w:t>业绩一览表</w:t>
      </w:r>
    </w:p>
    <w:tbl>
      <w:tblPr>
        <w:tblStyle w:val="9"/>
        <w:tblpPr w:leftFromText="180" w:rightFromText="180" w:vertAnchor="text" w:horzAnchor="page" w:tblpX="1032" w:tblpY="601"/>
        <w:tblOverlap w:val="never"/>
        <w:tblW w:w="10215" w:type="dxa"/>
        <w:tblInd w:w="0" w:type="dxa"/>
        <w:shd w:val="clear" w:color="auto" w:fill="auto"/>
        <w:tblLayout w:type="autofit"/>
        <w:tblCellMar>
          <w:top w:w="0" w:type="dxa"/>
          <w:left w:w="0" w:type="dxa"/>
          <w:bottom w:w="0" w:type="dxa"/>
          <w:right w:w="0" w:type="dxa"/>
        </w:tblCellMar>
      </w:tblPr>
      <w:tblGrid>
        <w:gridCol w:w="705"/>
        <w:gridCol w:w="5865"/>
        <w:gridCol w:w="3645"/>
      </w:tblGrid>
      <w:tr>
        <w:tblPrEx>
          <w:shd w:val="clear" w:color="auto" w:fill="auto"/>
          <w:tblCellMar>
            <w:top w:w="0" w:type="dxa"/>
            <w:left w:w="0" w:type="dxa"/>
            <w:bottom w:w="0" w:type="dxa"/>
            <w:right w:w="0" w:type="dxa"/>
          </w:tblCellMar>
        </w:tblPrEx>
        <w:trPr>
          <w:trHeight w:val="54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项目名称</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委托单位</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于田县斯也克乡鹅鸭项目实施方案</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于田县农牧兽医局扶贫项目实施方案评审</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于田县农牧兽医局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于田县斯也克乡葡萄种植项目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洛浦县恰尔巴格乡巴什皮切克其村种植食用菌项目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罗普恰尔巴格乡人民政府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于田县喀拉克尔乡肉牛产业项目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于田县喀拉克尔乡人民政府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洛浦县多鲁乡肉牛养殖基地建设项目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洛浦县多鲁乡人民政府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洛浦县洛浦镇欧吐拉博什砍村标准化养殖场改扩建项目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洛浦县洛浦镇人民政府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洛浦县生猪养殖精准扶贫项目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洛浦县农业农村局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于田县斯也克乡特种养殖（貂、狐狸）项目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于田县斯也克乡鹅麻鸭养殖二期项目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于田县斯也克乡鹅麻鸭养殖一期项目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于田县斯也克乡人民政府</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于田县喀拉克尔肉兔产业项目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于田县喀拉尔乡</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于田县英巴格乡肉兔产业二期项目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于田县英巴格乡</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策勒县林草局2019年扶贫项目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策勒县林草局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策勒县林草局2019年扶贫项目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策勒县林草局</w:t>
            </w:r>
          </w:p>
        </w:tc>
      </w:tr>
      <w:tr>
        <w:tblPrEx>
          <w:tblCellMar>
            <w:top w:w="0" w:type="dxa"/>
            <w:left w:w="0" w:type="dxa"/>
            <w:bottom w:w="0" w:type="dxa"/>
            <w:right w:w="0" w:type="dxa"/>
          </w:tblCellMar>
        </w:tblPrEx>
        <w:trPr>
          <w:trHeight w:val="6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英吉沙县扶贫项目实施方案编制</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英吉沙县扶贫中心项目规划专项组</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皮山县林业局2019年扶贫项目实施方案</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皮山县林业局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皮山县商经委2019年扶贫项目实施方案评审</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皮山县商务和经济信息化委员会</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皮山县农牧局2019年扶贫项目实施方案评审</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皮山县农牧局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英吉沙县蜜蜂养殖项目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英吉沙县农业农村局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英吉沙县农产品加工项目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英吉沙县农业农村局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英吉沙乡村车间设备配套项目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英吉沙县农村经济经营管理局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英吉沙合作社电力配套项目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英吉沙县农村经济经营管理局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英吉沙县农民专业合作社奖补项目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英吉沙县农村经济经营管理局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5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英吉沙2020年贫困户就业“以奖代补”项目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英吉沙县商务和工业信息化局</w:t>
            </w:r>
          </w:p>
        </w:tc>
      </w:tr>
      <w:tr>
        <w:tblPrEx>
          <w:tblCellMar>
            <w:top w:w="0" w:type="dxa"/>
            <w:left w:w="0" w:type="dxa"/>
            <w:bottom w:w="0" w:type="dxa"/>
            <w:right w:w="0" w:type="dxa"/>
          </w:tblCellMar>
        </w:tblPrEx>
        <w:trPr>
          <w:trHeight w:val="4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英吉沙2020年度工程服务站项目</w:t>
            </w:r>
          </w:p>
        </w:tc>
        <w:tc>
          <w:tcPr>
            <w:tcW w:w="3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英吉沙县工业园区管理委员会</w:t>
            </w:r>
          </w:p>
        </w:tc>
      </w:tr>
    </w:tbl>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tabs>
          <w:tab w:val="left" w:pos="3458"/>
          <w:tab w:val="center" w:pos="3780"/>
          <w:tab w:val="center" w:pos="4320"/>
        </w:tabs>
        <w:rPr>
          <w:sz w:val="18"/>
          <w:szCs w:val="18"/>
        </w:rPr>
      </w:pPr>
    </w:p>
    <w:p>
      <w:pPr>
        <w:rPr>
          <w:rFonts w:hint="eastAsia" w:ascii="宋体" w:hAnsi="宋体" w:cs="宋体"/>
          <w:b/>
          <w:kern w:val="0"/>
          <w:sz w:val="36"/>
          <w:szCs w:val="36"/>
          <w:u w:val="thick"/>
          <w:lang w:eastAsia="zh-CN"/>
        </w:rPr>
      </w:pPr>
      <w:r>
        <w:rPr>
          <w:sz w:val="18"/>
          <w:szCs w:val="18"/>
        </w:rPr>
        <w:drawing>
          <wp:inline distT="0" distB="0" distL="0" distR="0">
            <wp:extent cx="457200" cy="394335"/>
            <wp:effectExtent l="0" t="0" r="0" b="5715"/>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 cy="394335"/>
                    </a:xfrm>
                    <a:prstGeom prst="rect">
                      <a:avLst/>
                    </a:prstGeom>
                    <a:noFill/>
                    <a:ln>
                      <a:noFill/>
                    </a:ln>
                  </pic:spPr>
                </pic:pic>
              </a:graphicData>
            </a:graphic>
          </wp:inline>
        </w:drawing>
      </w:r>
      <w:r>
        <w:rPr>
          <w:rFonts w:hint="eastAsia"/>
          <w:sz w:val="18"/>
          <w:szCs w:val="18"/>
        </w:rPr>
        <w:t xml:space="preserve">    </w:t>
      </w:r>
      <w:r>
        <w:rPr>
          <w:rFonts w:hint="eastAsia" w:ascii="宋体" w:hAnsi="宋体" w:cs="宋体"/>
          <w:b/>
          <w:kern w:val="0"/>
          <w:sz w:val="36"/>
          <w:szCs w:val="36"/>
          <w:u w:val="thick"/>
          <w:lang w:eastAsia="zh-CN"/>
        </w:rPr>
        <w:t>主要业务合作单位</w:t>
      </w:r>
    </w:p>
    <w:p>
      <w:pPr>
        <w:rPr>
          <w:rFonts w:hint="eastAsia" w:ascii="宋体" w:hAnsi="宋体" w:cs="宋体"/>
          <w:b/>
          <w:kern w:val="0"/>
          <w:sz w:val="28"/>
          <w:szCs w:val="28"/>
          <w:u w:val="thick"/>
          <w:lang w:eastAsia="zh-CN"/>
        </w:rPr>
      </w:pP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维吾尔自治区审计厅</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维吾尔自治区财政厅</w:t>
      </w:r>
      <w:r>
        <w:rPr>
          <w:rFonts w:ascii="宋体" w:hAnsi="宋体" w:eastAsia="宋体" w:cs="宋体"/>
          <w:sz w:val="28"/>
          <w:szCs w:val="28"/>
        </w:rPr>
        <w:br w:type="textWrapping"/>
      </w:r>
      <w:r>
        <w:rPr>
          <w:rFonts w:ascii="宋体" w:hAnsi="宋体" w:eastAsia="宋体" w:cs="宋体"/>
          <w:sz w:val="28"/>
          <w:szCs w:val="28"/>
        </w:rPr>
        <w:t>新疆维吾尔自治区扶贫办</w:t>
      </w:r>
      <w:r>
        <w:rPr>
          <w:rFonts w:ascii="宋体" w:hAnsi="宋体" w:eastAsia="宋体" w:cs="宋体"/>
          <w:sz w:val="28"/>
          <w:szCs w:val="28"/>
        </w:rPr>
        <w:br w:type="textWrapping"/>
      </w:r>
      <w:r>
        <w:rPr>
          <w:rFonts w:ascii="宋体" w:hAnsi="宋体" w:eastAsia="宋体" w:cs="宋体"/>
          <w:sz w:val="28"/>
          <w:szCs w:val="28"/>
        </w:rPr>
        <w:t>新疆维吾尔自治区农业厅</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维吾尔自治区林业厅</w:t>
      </w:r>
      <w:r>
        <w:rPr>
          <w:rFonts w:ascii="宋体" w:hAnsi="宋体" w:eastAsia="宋体" w:cs="宋体"/>
          <w:sz w:val="28"/>
          <w:szCs w:val="28"/>
        </w:rPr>
        <w:br w:type="textWrapping"/>
      </w:r>
      <w:r>
        <w:rPr>
          <w:rFonts w:ascii="宋体" w:hAnsi="宋体" w:eastAsia="宋体" w:cs="宋体"/>
          <w:sz w:val="28"/>
          <w:szCs w:val="28"/>
        </w:rPr>
        <w:t>新疆维吾尔自治区交通运输厅</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维吾尔自治区国家税</w:t>
      </w:r>
      <w:r>
        <w:rPr>
          <w:rFonts w:hint="eastAsia" w:ascii="宋体" w:hAnsi="宋体" w:cs="宋体"/>
          <w:sz w:val="28"/>
          <w:szCs w:val="28"/>
          <w:lang w:eastAsia="zh-CN"/>
        </w:rPr>
        <w:t>务</w:t>
      </w:r>
      <w:r>
        <w:rPr>
          <w:rFonts w:ascii="宋体" w:hAnsi="宋体" w:eastAsia="宋体" w:cs="宋体"/>
          <w:sz w:val="28"/>
          <w:szCs w:val="28"/>
        </w:rPr>
        <w:t>局</w:t>
      </w:r>
      <w:r>
        <w:rPr>
          <w:rFonts w:ascii="宋体" w:hAnsi="宋体" w:eastAsia="宋体" w:cs="宋体"/>
          <w:sz w:val="28"/>
          <w:szCs w:val="28"/>
        </w:rPr>
        <w:br w:type="textWrapping"/>
      </w:r>
      <w:r>
        <w:rPr>
          <w:rFonts w:ascii="宋体" w:hAnsi="宋体" w:eastAsia="宋体" w:cs="宋体"/>
          <w:sz w:val="28"/>
          <w:szCs w:val="28"/>
        </w:rPr>
        <w:t>新疆维吾尔自治区工商局</w:t>
      </w:r>
      <w:r>
        <w:rPr>
          <w:rFonts w:ascii="宋体" w:hAnsi="宋体" w:eastAsia="宋体" w:cs="宋体"/>
          <w:sz w:val="28"/>
          <w:szCs w:val="28"/>
        </w:rPr>
        <w:br w:type="textWrapping"/>
      </w:r>
      <w:r>
        <w:rPr>
          <w:rFonts w:ascii="宋体" w:hAnsi="宋体" w:eastAsia="宋体" w:cs="宋体"/>
          <w:sz w:val="28"/>
          <w:szCs w:val="28"/>
        </w:rPr>
        <w:t>新疆维吾尔自治区水利厅</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维吾尔自治区土地开发整理建设管理局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乌鲁木齐市审计局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乌鲁木齐市财政局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乌鲁木齐市公安局</w:t>
      </w:r>
      <w:r>
        <w:rPr>
          <w:rFonts w:ascii="宋体" w:hAnsi="宋体" w:eastAsia="宋体" w:cs="宋体"/>
          <w:sz w:val="28"/>
          <w:szCs w:val="28"/>
        </w:rPr>
        <w:br w:type="textWrapping"/>
      </w:r>
      <w:r>
        <w:rPr>
          <w:rFonts w:ascii="宋体" w:hAnsi="宋体" w:eastAsia="宋体" w:cs="宋体"/>
          <w:sz w:val="28"/>
          <w:szCs w:val="28"/>
        </w:rPr>
        <w:t>新疆维吾尔自治区伊</w:t>
      </w:r>
      <w:r>
        <w:rPr>
          <w:rFonts w:hint="eastAsia" w:ascii="宋体" w:hAnsi="宋体" w:cs="宋体"/>
          <w:sz w:val="28"/>
          <w:szCs w:val="28"/>
          <w:lang w:eastAsia="zh-CN"/>
        </w:rPr>
        <w:t>犁</w:t>
      </w:r>
      <w:r>
        <w:rPr>
          <w:rFonts w:ascii="宋体" w:hAnsi="宋体" w:eastAsia="宋体" w:cs="宋体"/>
          <w:sz w:val="28"/>
          <w:szCs w:val="28"/>
        </w:rPr>
        <w:t>州审计局</w:t>
      </w:r>
      <w:r>
        <w:rPr>
          <w:rFonts w:ascii="宋体" w:hAnsi="宋体" w:eastAsia="宋体" w:cs="宋体"/>
          <w:sz w:val="28"/>
          <w:szCs w:val="28"/>
        </w:rPr>
        <w:br w:type="textWrapping"/>
      </w:r>
      <w:r>
        <w:rPr>
          <w:rFonts w:ascii="宋体" w:hAnsi="宋体" w:eastAsia="宋体" w:cs="宋体"/>
          <w:sz w:val="28"/>
          <w:szCs w:val="28"/>
        </w:rPr>
        <w:t>新疆维吾尔自治区伊犁州财政局</w:t>
      </w:r>
      <w:r>
        <w:rPr>
          <w:rFonts w:ascii="宋体" w:hAnsi="宋体" w:eastAsia="宋体" w:cs="宋体"/>
          <w:sz w:val="28"/>
          <w:szCs w:val="28"/>
        </w:rPr>
        <w:br w:type="textWrapping"/>
      </w:r>
      <w:r>
        <w:rPr>
          <w:rFonts w:ascii="宋体" w:hAnsi="宋体" w:eastAsia="宋体" w:cs="宋体"/>
          <w:sz w:val="28"/>
          <w:szCs w:val="28"/>
        </w:rPr>
        <w:t>新疆阿勒泰地区财政局</w:t>
      </w:r>
      <w:r>
        <w:rPr>
          <w:rFonts w:ascii="宋体" w:hAnsi="宋体" w:eastAsia="宋体" w:cs="宋体"/>
          <w:sz w:val="28"/>
          <w:szCs w:val="28"/>
        </w:rPr>
        <w:br w:type="textWrapping"/>
      </w:r>
      <w:r>
        <w:rPr>
          <w:rFonts w:ascii="宋体" w:hAnsi="宋体" w:eastAsia="宋体" w:cs="宋体"/>
          <w:sz w:val="28"/>
          <w:szCs w:val="28"/>
        </w:rPr>
        <w:t>巴音郭楞蒙古自治州财政局</w:t>
      </w:r>
      <w:r>
        <w:rPr>
          <w:rFonts w:ascii="宋体" w:hAnsi="宋体" w:eastAsia="宋体" w:cs="宋体"/>
          <w:sz w:val="28"/>
          <w:szCs w:val="28"/>
        </w:rPr>
        <w:br w:type="textWrapping"/>
      </w:r>
      <w:r>
        <w:rPr>
          <w:rFonts w:ascii="宋体" w:hAnsi="宋体" w:eastAsia="宋体" w:cs="宋体"/>
          <w:sz w:val="28"/>
          <w:szCs w:val="28"/>
        </w:rPr>
        <w:t>巴音郭楞蒙古自治州审计局</w:t>
      </w:r>
      <w:r>
        <w:rPr>
          <w:rFonts w:ascii="宋体" w:hAnsi="宋体" w:eastAsia="宋体" w:cs="宋体"/>
          <w:sz w:val="28"/>
          <w:szCs w:val="28"/>
        </w:rPr>
        <w:br w:type="textWrapping"/>
      </w:r>
      <w:r>
        <w:rPr>
          <w:rFonts w:ascii="宋体" w:hAnsi="宋体" w:eastAsia="宋体" w:cs="宋体"/>
          <w:sz w:val="28"/>
          <w:szCs w:val="28"/>
        </w:rPr>
        <w:t>新疆维吾尔自治区喀什地区审计局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维吾尔自治区喀什地区财政局</w:t>
      </w:r>
      <w:r>
        <w:rPr>
          <w:rFonts w:ascii="宋体" w:hAnsi="宋体" w:eastAsia="宋体" w:cs="宋体"/>
          <w:sz w:val="28"/>
          <w:szCs w:val="28"/>
        </w:rPr>
        <w:br w:type="textWrapping"/>
      </w:r>
      <w:r>
        <w:rPr>
          <w:rFonts w:ascii="宋体" w:hAnsi="宋体" w:eastAsia="宋体" w:cs="宋体"/>
          <w:sz w:val="28"/>
          <w:szCs w:val="28"/>
        </w:rPr>
        <w:t>新疆维吾尔自治区喀什地区自然资源局</w:t>
      </w:r>
      <w:r>
        <w:rPr>
          <w:rFonts w:ascii="宋体" w:hAnsi="宋体" w:eastAsia="宋体" w:cs="宋体"/>
          <w:sz w:val="28"/>
          <w:szCs w:val="28"/>
        </w:rPr>
        <w:br w:type="textWrapping"/>
      </w:r>
      <w:r>
        <w:rPr>
          <w:rFonts w:ascii="宋体" w:hAnsi="宋体" w:eastAsia="宋体" w:cs="宋体"/>
          <w:sz w:val="28"/>
          <w:szCs w:val="28"/>
        </w:rPr>
        <w:t>新疆维吾尔自治区哈密地区审计局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维吾尔自治区阿克苏地区审计局</w:t>
      </w:r>
      <w:r>
        <w:rPr>
          <w:rFonts w:ascii="宋体" w:hAnsi="宋体" w:eastAsia="宋体" w:cs="宋体"/>
          <w:sz w:val="28"/>
          <w:szCs w:val="28"/>
        </w:rPr>
        <w:br w:type="textWrapping"/>
      </w:r>
      <w:r>
        <w:rPr>
          <w:rFonts w:ascii="宋体" w:hAnsi="宋体" w:eastAsia="宋体" w:cs="宋体"/>
          <w:sz w:val="28"/>
          <w:szCs w:val="28"/>
        </w:rPr>
        <w:t>乌鲁木齐市高新区（新市区）审计局</w:t>
      </w:r>
      <w:r>
        <w:rPr>
          <w:rFonts w:ascii="宋体" w:hAnsi="宋体" w:eastAsia="宋体" w:cs="宋体"/>
          <w:sz w:val="28"/>
          <w:szCs w:val="28"/>
        </w:rPr>
        <w:br w:type="textWrapping"/>
      </w:r>
      <w:r>
        <w:rPr>
          <w:rFonts w:hint="eastAsia" w:ascii="宋体" w:hAnsi="宋体" w:cs="宋体"/>
          <w:sz w:val="28"/>
          <w:szCs w:val="28"/>
          <w:lang w:eastAsia="zh-CN"/>
        </w:rPr>
        <w:t>乌</w:t>
      </w:r>
      <w:r>
        <w:rPr>
          <w:rFonts w:ascii="宋体" w:hAnsi="宋体" w:eastAsia="宋体" w:cs="宋体"/>
          <w:sz w:val="28"/>
          <w:szCs w:val="28"/>
        </w:rPr>
        <w:t>鲁木齐市达坂城区审计局</w:t>
      </w:r>
      <w:r>
        <w:rPr>
          <w:rFonts w:ascii="宋体" w:hAnsi="宋体" w:eastAsia="宋体" w:cs="宋体"/>
          <w:sz w:val="28"/>
          <w:szCs w:val="28"/>
        </w:rPr>
        <w:br w:type="textWrapping"/>
      </w:r>
      <w:r>
        <w:rPr>
          <w:rFonts w:ascii="宋体" w:hAnsi="宋体" w:eastAsia="宋体" w:cs="宋体"/>
          <w:sz w:val="28"/>
          <w:szCs w:val="28"/>
        </w:rPr>
        <w:t>乌鲁木齐市米东区审计局</w:t>
      </w:r>
      <w:r>
        <w:rPr>
          <w:rFonts w:ascii="宋体" w:hAnsi="宋体" w:eastAsia="宋体" w:cs="宋体"/>
          <w:sz w:val="28"/>
          <w:szCs w:val="28"/>
        </w:rPr>
        <w:br w:type="textWrapping"/>
      </w:r>
      <w:r>
        <w:rPr>
          <w:rFonts w:ascii="宋体" w:hAnsi="宋体" w:eastAsia="宋体" w:cs="宋体"/>
          <w:sz w:val="28"/>
          <w:szCs w:val="28"/>
        </w:rPr>
        <w:t>乌鲁木齐市米东区财政局</w:t>
      </w:r>
      <w:r>
        <w:rPr>
          <w:rFonts w:ascii="宋体" w:hAnsi="宋体" w:eastAsia="宋体" w:cs="宋体"/>
          <w:sz w:val="28"/>
          <w:szCs w:val="28"/>
        </w:rPr>
        <w:br w:type="textWrapping"/>
      </w:r>
      <w:r>
        <w:rPr>
          <w:rFonts w:ascii="宋体" w:hAnsi="宋体" w:eastAsia="宋体" w:cs="宋体"/>
          <w:sz w:val="28"/>
          <w:szCs w:val="28"/>
        </w:rPr>
        <w:t>乌鲁木齐市达坂城区教育局</w:t>
      </w:r>
      <w:r>
        <w:rPr>
          <w:rFonts w:ascii="宋体" w:hAnsi="宋体" w:eastAsia="宋体" w:cs="宋体"/>
          <w:sz w:val="28"/>
          <w:szCs w:val="28"/>
        </w:rPr>
        <w:br w:type="textWrapping"/>
      </w:r>
      <w:r>
        <w:rPr>
          <w:rFonts w:hint="eastAsia" w:ascii="宋体" w:hAnsi="宋体" w:cs="宋体"/>
          <w:sz w:val="28"/>
          <w:szCs w:val="28"/>
          <w:lang w:eastAsia="zh-CN"/>
        </w:rPr>
        <w:t>乌鲁</w:t>
      </w:r>
      <w:r>
        <w:rPr>
          <w:rFonts w:ascii="宋体" w:hAnsi="宋体" w:eastAsia="宋体" w:cs="宋体"/>
          <w:sz w:val="28"/>
          <w:szCs w:val="28"/>
        </w:rPr>
        <w:t>木齐市经济技术开发区（头屯河区）审计局</w:t>
      </w:r>
      <w:r>
        <w:rPr>
          <w:rFonts w:ascii="宋体" w:hAnsi="宋体" w:eastAsia="宋体" w:cs="宋体"/>
          <w:sz w:val="28"/>
          <w:szCs w:val="28"/>
        </w:rPr>
        <w:br w:type="textWrapping"/>
      </w:r>
      <w:r>
        <w:rPr>
          <w:rFonts w:ascii="宋体" w:hAnsi="宋体" w:eastAsia="宋体" w:cs="宋体"/>
          <w:sz w:val="28"/>
          <w:szCs w:val="28"/>
        </w:rPr>
        <w:t>乌鲁木齐市天山区审计局</w:t>
      </w:r>
      <w:r>
        <w:rPr>
          <w:rFonts w:ascii="宋体" w:hAnsi="宋体" w:eastAsia="宋体" w:cs="宋体"/>
          <w:sz w:val="28"/>
          <w:szCs w:val="28"/>
        </w:rPr>
        <w:br w:type="textWrapping"/>
      </w:r>
      <w:r>
        <w:rPr>
          <w:rFonts w:ascii="宋体" w:hAnsi="宋体" w:eastAsia="宋体" w:cs="宋体"/>
          <w:sz w:val="28"/>
          <w:szCs w:val="28"/>
        </w:rPr>
        <w:t>乌鲁木齐市水磨沟区审计局</w:t>
      </w:r>
      <w:r>
        <w:rPr>
          <w:rFonts w:ascii="宋体" w:hAnsi="宋体" w:eastAsia="宋体" w:cs="宋体"/>
          <w:sz w:val="28"/>
          <w:szCs w:val="28"/>
        </w:rPr>
        <w:br w:type="textWrapping"/>
      </w:r>
      <w:r>
        <w:rPr>
          <w:rFonts w:ascii="宋体" w:hAnsi="宋体" w:eastAsia="宋体" w:cs="宋体"/>
          <w:sz w:val="28"/>
          <w:szCs w:val="28"/>
        </w:rPr>
        <w:t>乌鲁木齐市沙依巴克区审计局</w:t>
      </w:r>
      <w:r>
        <w:rPr>
          <w:rFonts w:ascii="宋体" w:hAnsi="宋体" w:eastAsia="宋体" w:cs="宋体"/>
          <w:sz w:val="28"/>
          <w:szCs w:val="28"/>
        </w:rPr>
        <w:br w:type="textWrapping"/>
      </w:r>
      <w:r>
        <w:rPr>
          <w:rFonts w:ascii="宋体" w:hAnsi="宋体" w:eastAsia="宋体" w:cs="宋体"/>
          <w:sz w:val="28"/>
          <w:szCs w:val="28"/>
        </w:rPr>
        <w:t>乌鲁木齐市达坂城区审计局</w:t>
      </w:r>
      <w:r>
        <w:rPr>
          <w:rFonts w:ascii="宋体" w:hAnsi="宋体" w:eastAsia="宋体" w:cs="宋体"/>
          <w:sz w:val="28"/>
          <w:szCs w:val="28"/>
        </w:rPr>
        <w:br w:type="textWrapping"/>
      </w:r>
      <w:r>
        <w:rPr>
          <w:rFonts w:ascii="宋体" w:hAnsi="宋体" w:eastAsia="宋体" w:cs="宋体"/>
          <w:sz w:val="28"/>
          <w:szCs w:val="28"/>
        </w:rPr>
        <w:t>乌鲁木齐市达坂城区建设局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博尔塔拉蒙古自治州博乐市审计局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阿勒泰市审计局</w:t>
      </w:r>
      <w:r>
        <w:rPr>
          <w:rFonts w:ascii="宋体" w:hAnsi="宋体" w:eastAsia="宋体" w:cs="宋体"/>
          <w:sz w:val="28"/>
          <w:szCs w:val="28"/>
        </w:rPr>
        <w:br w:type="textWrapping"/>
      </w:r>
      <w:r>
        <w:rPr>
          <w:rFonts w:ascii="宋体" w:hAnsi="宋体" w:eastAsia="宋体" w:cs="宋体"/>
          <w:sz w:val="28"/>
          <w:szCs w:val="28"/>
        </w:rPr>
        <w:t>新疆维吾尔自治区伊犁州巩留县财政局</w:t>
      </w:r>
      <w:r>
        <w:rPr>
          <w:rFonts w:ascii="宋体" w:hAnsi="宋体" w:eastAsia="宋体" w:cs="宋体"/>
          <w:sz w:val="28"/>
          <w:szCs w:val="28"/>
        </w:rPr>
        <w:br w:type="textWrapping"/>
      </w:r>
      <w:r>
        <w:rPr>
          <w:rFonts w:ascii="宋体" w:hAnsi="宋体" w:eastAsia="宋体" w:cs="宋体"/>
          <w:sz w:val="28"/>
          <w:szCs w:val="28"/>
        </w:rPr>
        <w:t>新疆维吾尔自治区伊</w:t>
      </w:r>
      <w:r>
        <w:rPr>
          <w:rFonts w:hint="eastAsia" w:ascii="宋体" w:hAnsi="宋体" w:cs="宋体"/>
          <w:sz w:val="28"/>
          <w:szCs w:val="28"/>
          <w:lang w:eastAsia="zh-CN"/>
        </w:rPr>
        <w:t>犁</w:t>
      </w:r>
      <w:r>
        <w:rPr>
          <w:rFonts w:ascii="宋体" w:hAnsi="宋体" w:eastAsia="宋体" w:cs="宋体"/>
          <w:sz w:val="28"/>
          <w:szCs w:val="28"/>
        </w:rPr>
        <w:t>州巩留县审计局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维吾尔自治区伊</w:t>
      </w:r>
      <w:r>
        <w:rPr>
          <w:rFonts w:hint="eastAsia" w:ascii="宋体" w:hAnsi="宋体" w:cs="宋体"/>
          <w:sz w:val="28"/>
          <w:szCs w:val="28"/>
          <w:lang w:eastAsia="zh-CN"/>
        </w:rPr>
        <w:t>犁</w:t>
      </w:r>
      <w:r>
        <w:rPr>
          <w:rFonts w:ascii="宋体" w:hAnsi="宋体" w:eastAsia="宋体" w:cs="宋体"/>
          <w:sz w:val="28"/>
          <w:szCs w:val="28"/>
        </w:rPr>
        <w:t>州</w:t>
      </w:r>
      <w:r>
        <w:rPr>
          <w:rFonts w:hint="eastAsia" w:ascii="宋体" w:hAnsi="宋体" w:cs="宋体"/>
          <w:sz w:val="28"/>
          <w:szCs w:val="28"/>
          <w:lang w:eastAsia="zh-CN"/>
        </w:rPr>
        <w:t>昭</w:t>
      </w:r>
      <w:r>
        <w:rPr>
          <w:rFonts w:ascii="宋体" w:hAnsi="宋体" w:eastAsia="宋体" w:cs="宋体"/>
          <w:sz w:val="28"/>
          <w:szCs w:val="28"/>
        </w:rPr>
        <w:t>苏县公安局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维吾尔自治区伊</w:t>
      </w:r>
      <w:r>
        <w:rPr>
          <w:rFonts w:hint="eastAsia" w:ascii="宋体" w:hAnsi="宋体" w:cs="宋体"/>
          <w:sz w:val="28"/>
          <w:szCs w:val="28"/>
          <w:lang w:eastAsia="zh-CN"/>
        </w:rPr>
        <w:t>犁</w:t>
      </w:r>
      <w:r>
        <w:rPr>
          <w:rFonts w:ascii="宋体" w:hAnsi="宋体" w:eastAsia="宋体" w:cs="宋体"/>
          <w:sz w:val="28"/>
          <w:szCs w:val="28"/>
        </w:rPr>
        <w:t>州特克斯县审计局</w:t>
      </w:r>
      <w:r>
        <w:rPr>
          <w:rFonts w:ascii="宋体" w:hAnsi="宋体" w:eastAsia="宋体" w:cs="宋体"/>
          <w:sz w:val="28"/>
          <w:szCs w:val="28"/>
        </w:rPr>
        <w:br w:type="textWrapping"/>
      </w:r>
      <w:r>
        <w:rPr>
          <w:rFonts w:ascii="宋体" w:hAnsi="宋体" w:eastAsia="宋体" w:cs="宋体"/>
          <w:sz w:val="28"/>
          <w:szCs w:val="28"/>
        </w:rPr>
        <w:t>新疆昌吉州阜康市审计局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五家</w:t>
      </w:r>
      <w:r>
        <w:rPr>
          <w:rFonts w:hint="eastAsia" w:ascii="宋体" w:hAnsi="宋体" w:cs="宋体"/>
          <w:sz w:val="28"/>
          <w:szCs w:val="28"/>
          <w:lang w:eastAsia="zh-CN"/>
        </w:rPr>
        <w:t>渠</w:t>
      </w:r>
      <w:r>
        <w:rPr>
          <w:rFonts w:ascii="宋体" w:hAnsi="宋体" w:eastAsia="宋体" w:cs="宋体"/>
          <w:sz w:val="28"/>
          <w:szCs w:val="28"/>
        </w:rPr>
        <w:t>财政局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石河子财政局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石河子第八师审计局</w:t>
      </w:r>
      <w:r>
        <w:rPr>
          <w:rFonts w:ascii="宋体" w:hAnsi="宋体" w:eastAsia="宋体" w:cs="宋体"/>
          <w:sz w:val="28"/>
          <w:szCs w:val="28"/>
        </w:rPr>
        <w:br w:type="textWrapping"/>
      </w:r>
      <w:r>
        <w:rPr>
          <w:rFonts w:ascii="宋体" w:hAnsi="宋体" w:eastAsia="宋体" w:cs="宋体"/>
          <w:sz w:val="28"/>
          <w:szCs w:val="28"/>
        </w:rPr>
        <w:t>新疆</w:t>
      </w:r>
      <w:r>
        <w:rPr>
          <w:rFonts w:hint="eastAsia" w:ascii="宋体" w:hAnsi="宋体" w:cs="宋体"/>
          <w:sz w:val="28"/>
          <w:szCs w:val="28"/>
          <w:lang w:eastAsia="zh-CN"/>
        </w:rPr>
        <w:t>维吾</w:t>
      </w:r>
      <w:r>
        <w:rPr>
          <w:rFonts w:ascii="宋体" w:hAnsi="宋体" w:eastAsia="宋体" w:cs="宋体"/>
          <w:sz w:val="28"/>
          <w:szCs w:val="28"/>
        </w:rPr>
        <w:t>尔自治区巴音郭楞蒙古自治州库尔勒市审计</w:t>
      </w:r>
      <w:r>
        <w:rPr>
          <w:rFonts w:hint="eastAsia" w:ascii="宋体" w:hAnsi="宋体" w:cs="宋体"/>
          <w:sz w:val="28"/>
          <w:szCs w:val="28"/>
          <w:lang w:eastAsia="zh-CN"/>
        </w:rPr>
        <w:t>局</w:t>
      </w:r>
      <w:r>
        <w:rPr>
          <w:rFonts w:ascii="宋体" w:hAnsi="宋体" w:eastAsia="宋体" w:cs="宋体"/>
          <w:sz w:val="28"/>
          <w:szCs w:val="28"/>
        </w:rPr>
        <w:br w:type="textWrapping"/>
      </w:r>
      <w:r>
        <w:rPr>
          <w:rFonts w:ascii="宋体" w:hAnsi="宋体" w:eastAsia="宋体" w:cs="宋体"/>
          <w:sz w:val="28"/>
          <w:szCs w:val="28"/>
        </w:rPr>
        <w:t>新疆克孜勒苏自治州阿图什市审计局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和田地区和田市建设局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和田地区和田市公安局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和田地区策</w:t>
      </w:r>
      <w:r>
        <w:rPr>
          <w:rFonts w:hint="eastAsia" w:ascii="宋体" w:hAnsi="宋体" w:cs="宋体"/>
          <w:sz w:val="28"/>
          <w:szCs w:val="28"/>
          <w:lang w:eastAsia="zh-CN"/>
        </w:rPr>
        <w:t>勒</w:t>
      </w:r>
      <w:r>
        <w:rPr>
          <w:rFonts w:ascii="宋体" w:hAnsi="宋体" w:eastAsia="宋体" w:cs="宋体"/>
          <w:sz w:val="28"/>
          <w:szCs w:val="28"/>
        </w:rPr>
        <w:t>县交通运输局</w:t>
      </w:r>
      <w:r>
        <w:rPr>
          <w:rFonts w:ascii="宋体" w:hAnsi="宋体" w:eastAsia="宋体" w:cs="宋体"/>
          <w:sz w:val="28"/>
          <w:szCs w:val="28"/>
        </w:rPr>
        <w:br w:type="textWrapping"/>
      </w:r>
      <w:r>
        <w:rPr>
          <w:rFonts w:ascii="宋体" w:hAnsi="宋体" w:eastAsia="宋体" w:cs="宋体"/>
          <w:sz w:val="28"/>
          <w:szCs w:val="28"/>
        </w:rPr>
        <w:t>新</w:t>
      </w:r>
      <w:r>
        <w:rPr>
          <w:rFonts w:hint="eastAsia" w:ascii="宋体" w:hAnsi="宋体" w:cs="宋体"/>
          <w:sz w:val="28"/>
          <w:szCs w:val="28"/>
          <w:lang w:eastAsia="zh-CN"/>
        </w:rPr>
        <w:t>疆</w:t>
      </w:r>
      <w:r>
        <w:rPr>
          <w:rFonts w:ascii="宋体" w:hAnsi="宋体" w:eastAsia="宋体" w:cs="宋体"/>
          <w:sz w:val="28"/>
          <w:szCs w:val="28"/>
        </w:rPr>
        <w:t>和田地区洛浦县审计局</w:t>
      </w:r>
    </w:p>
    <w:p>
      <w:pPr>
        <w:tabs>
          <w:tab w:val="left" w:pos="3458"/>
          <w:tab w:val="center" w:pos="3780"/>
          <w:tab w:val="center" w:pos="4320"/>
        </w:tabs>
        <w:rPr>
          <w:sz w:val="18"/>
          <w:szCs w:val="18"/>
        </w:rPr>
      </w:pPr>
    </w:p>
    <w:p>
      <w:pPr>
        <w:widowControl/>
        <w:spacing w:before="240" w:line="440" w:lineRule="exact"/>
        <w:jc w:val="left"/>
        <w:rPr>
          <w:rFonts w:asciiTheme="minorEastAsia" w:hAnsiTheme="minorEastAsia" w:eastAsiaTheme="minorEastAsia"/>
          <w:bCs/>
          <w:sz w:val="30"/>
          <w:szCs w:val="30"/>
        </w:rPr>
      </w:pPr>
    </w:p>
    <w:sectPr>
      <w:pgSz w:w="11906" w:h="16838"/>
      <w:pgMar w:top="1440" w:right="851" w:bottom="873" w:left="1218" w:header="851" w:footer="709" w:gutter="284"/>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2880"/>
      </w:tabs>
      <w:snapToGrid w:val="0"/>
      <w:spacing w:line="240" w:lineRule="atLeast"/>
      <w:ind w:right="-53" w:rightChars="-25"/>
      <w:rPr>
        <w:rFonts w:ascii="宋体"/>
        <w:color w:val="333399"/>
        <w:sz w:val="18"/>
        <w:szCs w:val="18"/>
      </w:rPr>
    </w:pPr>
    <w:r>
      <w:rPr>
        <w:rFonts w:hint="eastAsia" w:ascii="宋体"/>
        <w:color w:val="333399"/>
        <w:sz w:val="16"/>
        <w:szCs w:val="18"/>
      </w:rPr>
      <w:t>公司地址：乌鲁木齐市经济技术开发区玄武湖路555号万达中心22楼     联系人：王唯琛     电话：13999969274</w:t>
    </w:r>
  </w:p>
  <w:p>
    <w:pPr>
      <w:tabs>
        <w:tab w:val="left" w:pos="2880"/>
      </w:tabs>
      <w:snapToGrid w:val="0"/>
      <w:spacing w:line="240" w:lineRule="atLeast"/>
      <w:ind w:firstLine="540"/>
      <w:jc w:val="center"/>
      <w:rPr>
        <w:rFonts w:ascii="宋体"/>
        <w:color w:val="333399"/>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posOffset>2628265</wp:posOffset>
              </wp:positionH>
              <wp:positionV relativeFrom="paragraph">
                <wp:posOffset>42545</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left:206.95pt;margin-top:3.35pt;height:144pt;width:144pt;mso-position-horizontal-relative:margin;mso-wrap-style:none;z-index:251664384;mso-width-relative:page;mso-height-relative:page;" filled="f" stroked="f" coordsize="21600,21600" o:gfxdata="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3pdN9YA&#10;AAAJAQAADwAAAAAAAAABACAAAAAiAAAAZHJzL2Rvd25yZXYueG1sUEsBAhQAFAAAAAgAh07iQImu&#10;qKWvAQAATAMAAA4AAAAAAAAAAQAgAAAAJQEAAGRycy9lMm9Eb2MueG1sUEsFBgAAAAAGAAYAWQEA&#10;AEYFAAAAAA==&#10;">
              <v:fill on="f" focussize="0,0"/>
              <v:stroke on="f"/>
              <v:imagedata o:title=""/>
              <o:lock v:ext="edit" aspectratio="f"/>
              <v:textbox inset="0mm,0mm,0mm,0mm" style="mso-fit-shape-to-text:t;">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Rtjb5rgEAAEwD&#10;AAAOAAAAAAAAAAEAIAAAAB4BAABkcnMvZTJvRG9jLnhtbFBLBQYAAAAABgAGAFkBAAA+BQ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2792752"/>
      <w:docPartObj>
        <w:docPartGallery w:val="autotext"/>
      </w:docPartObj>
    </w:sdtPr>
    <w:sdtContent>
      <w:p>
        <w:pPr>
          <w:pStyle w:val="6"/>
          <w:jc w:val="center"/>
        </w:pPr>
        <w:r>
          <w:fldChar w:fldCharType="begin"/>
        </w:r>
        <w:r>
          <w:instrText xml:space="preserve">PAGE   \* MERGEFORMAT</w:instrText>
        </w:r>
        <w:r>
          <w:fldChar w:fldCharType="separate"/>
        </w:r>
        <w:r>
          <w:rPr>
            <w:lang w:val="zh-CN"/>
          </w:rPr>
          <w:t>-</w:t>
        </w:r>
        <w:r>
          <w:t xml:space="preserve"> 24 -</w:t>
        </w:r>
        <w:r>
          <w:fldChar w:fldCharType="end"/>
        </w:r>
      </w:p>
    </w:sdtContent>
  </w:sdt>
  <w:p>
    <w:pPr>
      <w:spacing w:line="240" w:lineRule="atLeast"/>
      <w:rPr>
        <w:rFonts w:ascii="宋体" w:hAnsi="宋体"/>
        <w:color w:val="000000"/>
        <w:sz w:val="18"/>
        <w:szCs w:val="18"/>
      </w:rPr>
    </w:pPr>
    <w:r>
      <w:rPr>
        <w:rFonts w:ascii="宋体" w:hAnsi="宋体"/>
        <w:color w:val="000000"/>
        <w:sz w:val="32"/>
        <w:szCs w:val="32"/>
      </w:rPr>
      <mc:AlternateContent>
        <mc:Choice Requires="wps">
          <w:drawing>
            <wp:anchor distT="0" distB="0" distL="114300" distR="114300" simplePos="0" relativeHeight="251657216" behindDoc="0" locked="0" layoutInCell="1" allowOverlap="1">
              <wp:simplePos x="0" y="0"/>
              <wp:positionH relativeFrom="column">
                <wp:posOffset>-60325</wp:posOffset>
              </wp:positionH>
              <wp:positionV relativeFrom="paragraph">
                <wp:posOffset>61595</wp:posOffset>
              </wp:positionV>
              <wp:extent cx="6103620" cy="0"/>
              <wp:effectExtent l="0" t="0" r="0" b="0"/>
              <wp:wrapNone/>
              <wp:docPr id="59" name="Line 1"/>
              <wp:cNvGraphicFramePr/>
              <a:graphic xmlns:a="http://schemas.openxmlformats.org/drawingml/2006/main">
                <a:graphicData uri="http://schemas.microsoft.com/office/word/2010/wordprocessingShape">
                  <wps:wsp>
                    <wps:cNvCnPr>
                      <a:cxnSpLocks noChangeShapeType="1"/>
                    </wps:cNvCnPr>
                    <wps:spPr bwMode="auto">
                      <a:xfrm>
                        <a:off x="0" y="0"/>
                        <a:ext cx="6103917" cy="0"/>
                      </a:xfrm>
                      <a:prstGeom prst="line">
                        <a:avLst/>
                      </a:prstGeom>
                      <a:noFill/>
                      <a:ln w="9525">
                        <a:solidFill>
                          <a:srgbClr val="000000"/>
                        </a:solidFill>
                        <a:round/>
                      </a:ln>
                      <a:effectLst/>
                    </wps:spPr>
                    <wps:bodyPr/>
                  </wps:wsp>
                </a:graphicData>
              </a:graphic>
            </wp:anchor>
          </w:drawing>
        </mc:Choice>
        <mc:Fallback>
          <w:pict>
            <v:line id="Line 1" o:spid="_x0000_s1026" o:spt="20" style="position:absolute;left:0pt;margin-left:-4.75pt;margin-top:4.85pt;height:0pt;width:480.6pt;z-index:251657216;mso-width-relative:page;mso-height-relative:page;" filled="f" stroked="t" coordsize="21600,21600" o:gfxdata="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B8V&#10;OtQAAAAGAQAADwAAAAAAAAABACAAAAAiAAAAZHJzL2Rvd25yZXYueG1sUEsBAhQAFAAAAAgAh07i&#10;QFD+2z20AQAAYAMAAA4AAAAAAAAAAQAgAAAAIwEAAGRycy9lMm9Eb2MueG1sUEsFBgAAAAAGAAYA&#10;WQEAAEkFAAAAAA==&#10;">
              <v:fill on="f" focussize="0,0"/>
              <v:stroke color="#000000" joinstyle="round"/>
              <v:imagedata o:title=""/>
              <o:lock v:ext="edit" aspectratio="f"/>
            </v:line>
          </w:pict>
        </mc:Fallback>
      </mc:AlternateContent>
    </w:r>
    <w:r>
      <w:rPr>
        <w:rFonts w:ascii="宋体" w:hAnsi="宋体"/>
        <w:color w:val="000000"/>
        <w:sz w:val="32"/>
        <w:szCs w:val="32"/>
      </w:rPr>
      <mc:AlternateContent>
        <mc:Choice Requires="wps">
          <w:drawing>
            <wp:anchor distT="0" distB="0" distL="114300" distR="114300" simplePos="0" relativeHeight="251655168" behindDoc="0" locked="0" layoutInCell="1" allowOverlap="1">
              <wp:simplePos x="0" y="0"/>
              <wp:positionH relativeFrom="column">
                <wp:posOffset>558800</wp:posOffset>
              </wp:positionH>
              <wp:positionV relativeFrom="paragraph">
                <wp:posOffset>885825</wp:posOffset>
              </wp:positionV>
              <wp:extent cx="5257800" cy="0"/>
              <wp:effectExtent l="0" t="0" r="0" b="0"/>
              <wp:wrapNone/>
              <wp:docPr id="60" name="Line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2" o:spid="_x0000_s1026" o:spt="20" style="position:absolute;left:0pt;margin-left:44pt;margin-top:69.75pt;height:0pt;width:414pt;z-index:251655168;mso-width-relative:page;mso-height-relative:page;" filled="f" stroked="t" coordsize="21600,21600" o:gfxdata="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7CJ&#10;gtYAAAAKAQAADwAAAAAAAAABACAAAAAiAAAAZHJzL2Rvd25yZXYueG1sUEsBAhQAFAAAAAgAh07i&#10;QHpR2vGyAQAAYAMAAA4AAAAAAAAAAQAgAAAAJQEAAGRycy9lMm9Eb2MueG1sUEsFBgAAAAAGAAYA&#10;WQEAAEkFAAAAAA==&#10;">
              <v:fill on="f" focussize="0,0"/>
              <v:stroke color="#000000" joinstyle="round"/>
              <v:imagedata o:title=""/>
              <o:lock v:ext="edit" aspectratio="f"/>
            </v:line>
          </w:pict>
        </mc:Fallback>
      </mc:AlternateContent>
    </w:r>
  </w:p>
  <w:p>
    <w:pPr>
      <w:spacing w:line="240" w:lineRule="atLeast"/>
    </w:pPr>
    <w:r>
      <w:rPr>
        <w:rFonts w:hint="eastAsia" w:ascii="宋体" w:hAnsi="宋体"/>
        <w:color w:val="000000"/>
        <w:sz w:val="18"/>
        <w:szCs w:val="18"/>
      </w:rPr>
      <w:t>地 址：乌鲁木齐市经济技术开发区玄武湖路555号万达中心22楼    电 话：0991</w:t>
    </w:r>
    <w:r>
      <w:rPr>
        <w:rFonts w:ascii="宋体" w:hAnsi="宋体"/>
        <w:color w:val="000000"/>
        <w:sz w:val="18"/>
        <w:szCs w:val="18"/>
      </w:rPr>
      <w:t>—</w:t>
    </w:r>
    <w:r>
      <w:rPr>
        <w:rFonts w:ascii="宋体" w:hAnsi="宋体"/>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558800</wp:posOffset>
              </wp:positionH>
              <wp:positionV relativeFrom="paragraph">
                <wp:posOffset>733425</wp:posOffset>
              </wp:positionV>
              <wp:extent cx="5257800" cy="0"/>
              <wp:effectExtent l="0" t="0" r="0" b="0"/>
              <wp:wrapNone/>
              <wp:docPr id="61" name="Line 3"/>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3" o:spid="_x0000_s1026" o:spt="20" style="position:absolute;left:0pt;margin-left:44pt;margin-top:57.75pt;height:0pt;width:414pt;z-index:251660288;mso-width-relative:page;mso-height-relative:page;" filled="f" stroked="t" coordsize="21600,21600" o:gfxdata="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6c&#10;uMTWAAAACgEAAA8AAAAAAAAAAQAgAAAAIgAAAGRycy9kb3ducmV2LnhtbFBLAQIUABQAAAAIAIdO&#10;4kBq1Ap8swEAAGADAAAOAAAAAAAAAAEAIAAAACUBAABkcnMvZTJvRG9jLnhtbFBLBQYAAAAABgAG&#10;AFkBAABKBQAAAAA=&#10;">
              <v:fill on="f" focussize="0,0"/>
              <v:stroke color="#000000" joinstyle="round"/>
              <v:imagedata o:title=""/>
              <o:lock v:ext="edit" aspectratio="f"/>
            </v:line>
          </w:pict>
        </mc:Fallback>
      </mc:AlternateContent>
    </w:r>
    <w:r>
      <w:rPr>
        <w:rFonts w:ascii="宋体" w:hAnsi="宋体"/>
        <w:color w:val="000000"/>
        <w:sz w:val="18"/>
        <w:szCs w:val="18"/>
      </w:rPr>
      <w:t>2325119</w:t>
    </w:r>
    <w:r>
      <w:rPr>
        <w:rFonts w:hint="eastAsia" w:ascii="宋体" w:hAnsi="宋体"/>
        <w:color w:val="000000"/>
        <w:sz w:val="18"/>
        <w:szCs w:val="18"/>
      </w:rPr>
      <w:t xml:space="preserve">    传 真：0991—</w:t>
    </w:r>
    <w:r>
      <w:rPr>
        <w:rFonts w:ascii="宋体" w:hAnsi="宋体"/>
        <w:color w:val="000000"/>
        <w:sz w:val="18"/>
        <w:szCs w:val="18"/>
      </w:rPr>
      <w:t>2834917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- 1 -</w:t>
    </w:r>
    <w:r>
      <w:fldChar w:fldCharType="end"/>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tLeast"/>
      <w:rPr>
        <w:rFonts w:ascii="宋体" w:hAnsi="宋体"/>
        <w:color w:val="000000"/>
        <w:sz w:val="18"/>
        <w:szCs w:val="18"/>
      </w:rPr>
    </w:pPr>
    <w:bookmarkStart w:id="5" w:name="OLE_LINK63"/>
  </w:p>
  <w:p>
    <w:pPr>
      <w:spacing w:line="240" w:lineRule="atLeast"/>
      <w:rPr>
        <w:rFonts w:ascii="宋体" w:hAnsi="宋体"/>
        <w:color w:val="000000"/>
        <w:sz w:val="18"/>
        <w:szCs w:val="18"/>
      </w:rPr>
    </w:pPr>
    <w:r>
      <w:rPr>
        <w:rFonts w:ascii="宋体" w:hAnsi="宋体"/>
        <w:color w:val="000000"/>
        <w:sz w:val="32"/>
        <w:szCs w:val="3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53975</wp:posOffset>
              </wp:positionV>
              <wp:extent cx="5486400" cy="0"/>
              <wp:effectExtent l="0" t="0" r="0" b="0"/>
              <wp:wrapNone/>
              <wp:docPr id="10" name="Line 1"/>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a:effectLst/>
                    </wps:spPr>
                    <wps:bodyPr/>
                  </wps:wsp>
                </a:graphicData>
              </a:graphic>
            </wp:anchor>
          </w:drawing>
        </mc:Choice>
        <mc:Fallback>
          <w:pict>
            <v:line id="Line 1" o:spid="_x0000_s1026" o:spt="20" style="position:absolute;left:0pt;margin-left:0pt;margin-top:4.25pt;height:0pt;width:432pt;z-index:251658240;mso-width-relative:page;mso-height-relative:page;" filled="f" stroked="t" coordsize="21600,21600" o:gfxdata="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M6EldIA&#10;AAAEAQAADwAAAAAAAAABACAAAAAiAAAAZHJzL2Rvd25yZXYueG1sUEsBAhQAFAAAAAgAh07iQF3I&#10;+r2zAQAAYAMAAA4AAAAAAAAAAQAgAAAAIQEAAGRycy9lMm9Eb2MueG1sUEsFBgAAAAAGAAYAWQEA&#10;AEYFAAAAAA==&#10;">
              <v:fill on="f" focussize="0,0"/>
              <v:stroke color="#000000" joinstyle="round"/>
              <v:imagedata o:title=""/>
              <o:lock v:ext="edit" aspectratio="f"/>
            </v:line>
          </w:pict>
        </mc:Fallback>
      </mc:AlternateContent>
    </w:r>
    <w:r>
      <w:rPr>
        <w:rFonts w:ascii="宋体" w:hAnsi="宋体"/>
        <w:color w:val="000000"/>
        <w:sz w:val="32"/>
        <w:szCs w:val="32"/>
      </w:rPr>
      <mc:AlternateContent>
        <mc:Choice Requires="wps">
          <w:drawing>
            <wp:anchor distT="0" distB="0" distL="114300" distR="114300" simplePos="0" relativeHeight="251656192" behindDoc="0" locked="0" layoutInCell="1" allowOverlap="1">
              <wp:simplePos x="0" y="0"/>
              <wp:positionH relativeFrom="column">
                <wp:posOffset>558800</wp:posOffset>
              </wp:positionH>
              <wp:positionV relativeFrom="paragraph">
                <wp:posOffset>885825</wp:posOffset>
              </wp:positionV>
              <wp:extent cx="5257800" cy="0"/>
              <wp:effectExtent l="0" t="0" r="0" b="0"/>
              <wp:wrapNone/>
              <wp:docPr id="9" name="Line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2" o:spid="_x0000_s1026" o:spt="20" style="position:absolute;left:0pt;margin-left:44pt;margin-top:69.75pt;height:0pt;width:414pt;z-index:251656192;mso-width-relative:page;mso-height-relative:page;" filled="f" stroked="t" coordsize="21600,21600" o:gfxdata="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nsImC&#10;1gAAAAoBAAAPAAAAAAAAAAEAIAAAACIAAABkcnMvZG93bnJldi54bWxQSwECFAAUAAAACACHTuJA&#10;zE+kNLEBAABfAwAADgAAAAAAAAABACAAAAAlAQAAZHJzL2Uyb0RvYy54bWxQSwUGAAAAAAYABgBZ&#10;AQAASAUAAAAA&#10;">
              <v:fill on="f" focussize="0,0"/>
              <v:stroke color="#000000" joinstyle="round"/>
              <v:imagedata o:title=""/>
              <o:lock v:ext="edit" aspectratio="f"/>
            </v:line>
          </w:pict>
        </mc:Fallback>
      </mc:AlternateContent>
    </w:r>
  </w:p>
  <w:p>
    <w:pPr>
      <w:spacing w:line="240" w:lineRule="atLeast"/>
      <w:rPr>
        <w:rFonts w:ascii="宋体" w:hAnsi="宋体"/>
        <w:color w:val="000000"/>
        <w:sz w:val="18"/>
        <w:szCs w:val="18"/>
      </w:rPr>
    </w:pPr>
    <w:r>
      <w:rPr>
        <w:rFonts w:hint="eastAsia" w:ascii="宋体" w:hAnsi="宋体"/>
        <w:color w:val="000000"/>
        <w:sz w:val="18"/>
        <w:szCs w:val="18"/>
      </w:rPr>
      <w:t>地 址：乌鲁木齐市经济技术开发区玄武湖路555号万达中心22楼    电 话：0991</w:t>
    </w:r>
    <w:r>
      <w:rPr>
        <w:rFonts w:ascii="宋体" w:hAnsi="宋体"/>
        <w:color w:val="000000"/>
        <w:sz w:val="18"/>
        <w:szCs w:val="18"/>
      </w:rPr>
      <w:t>—</w:t>
    </w:r>
    <w:r>
      <w:rPr>
        <w:rFonts w:ascii="宋体" w:hAnsi="宋体"/>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558800</wp:posOffset>
              </wp:positionH>
              <wp:positionV relativeFrom="paragraph">
                <wp:posOffset>733425</wp:posOffset>
              </wp:positionV>
              <wp:extent cx="5257800" cy="0"/>
              <wp:effectExtent l="0" t="0" r="0" b="0"/>
              <wp:wrapNone/>
              <wp:docPr id="12" name="Line 3"/>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3" o:spid="_x0000_s1026" o:spt="20" style="position:absolute;left:0pt;margin-left:44pt;margin-top:57.75pt;height:0pt;width:414pt;z-index:251659264;mso-width-relative:page;mso-height-relative:page;" filled="f" stroked="t" coordsize="21600,21600" o:gfxdata="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y4&#10;xNYAAAAKAQAADwAAAAAAAAABACAAAAAiAAAAZHJzL2Rvd25yZXYueG1sUEsBAhQAFAAAAAgAh07i&#10;QHyGdqeyAQAAYAMAAA4AAAAAAAAAAQAgAAAAJQEAAGRycy9lMm9Eb2MueG1sUEsFBgAAAAAGAAYA&#10;WQEAAEkFAAAAAA==&#10;">
              <v:fill on="f" focussize="0,0"/>
              <v:stroke color="#000000" joinstyle="round"/>
              <v:imagedata o:title=""/>
              <o:lock v:ext="edit" aspectratio="f"/>
            </v:line>
          </w:pict>
        </mc:Fallback>
      </mc:AlternateContent>
    </w:r>
    <w:r>
      <w:rPr>
        <w:rFonts w:ascii="宋体" w:hAnsi="宋体"/>
        <w:color w:val="000000"/>
        <w:sz w:val="18"/>
        <w:szCs w:val="18"/>
      </w:rPr>
      <w:t>2325119</w:t>
    </w:r>
    <w:r>
      <w:rPr>
        <w:rFonts w:hint="eastAsia" w:ascii="宋体" w:hAnsi="宋体"/>
        <w:color w:val="000000"/>
        <w:sz w:val="18"/>
        <w:szCs w:val="18"/>
      </w:rPr>
      <w:t xml:space="preserve">    传 真：0991—</w:t>
    </w:r>
    <w:r>
      <w:rPr>
        <w:rFonts w:ascii="宋体" w:hAnsi="宋体"/>
        <w:color w:val="000000"/>
        <w:sz w:val="18"/>
        <w:szCs w:val="18"/>
      </w:rPr>
      <w:t>2834917</w:t>
    </w:r>
    <w:bookmarkEnd w:id="5"/>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eastAsia" w:ascii="宋体" w:hAnsi="宋体"/>
      </w:rPr>
    </w:pPr>
    <w:r>
      <w:rPr>
        <w:szCs w:val="21"/>
      </w:rPr>
      <w:drawing>
        <wp:inline distT="0" distB="0" distL="0" distR="0">
          <wp:extent cx="362585" cy="378460"/>
          <wp:effectExtent l="0" t="0" r="18415" b="2540"/>
          <wp:docPr id="3" name="图片 24" descr="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标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2585" cy="378460"/>
                  </a:xfrm>
                  <a:prstGeom prst="rect">
                    <a:avLst/>
                  </a:prstGeom>
                  <a:noFill/>
                  <a:ln>
                    <a:noFill/>
                  </a:ln>
                </pic:spPr>
              </pic:pic>
            </a:graphicData>
          </a:graphic>
        </wp:inline>
      </w:drawing>
    </w:r>
    <w:r>
      <w:rPr>
        <w:rFonts w:hint="eastAsia"/>
        <w:szCs w:val="21"/>
      </w:rPr>
      <w:t xml:space="preserve">  新疆银桥工程项目咨询有限公司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szCs w:val="21"/>
      </w:rPr>
      <w:drawing>
        <wp:inline distT="0" distB="0" distL="0" distR="0">
          <wp:extent cx="362585" cy="378460"/>
          <wp:effectExtent l="0" t="0" r="0" b="2540"/>
          <wp:docPr id="4" name="图片 24" descr="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标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2585" cy="378460"/>
                  </a:xfrm>
                  <a:prstGeom prst="rect">
                    <a:avLst/>
                  </a:prstGeom>
                  <a:noFill/>
                  <a:ln>
                    <a:noFill/>
                  </a:ln>
                </pic:spPr>
              </pic:pic>
            </a:graphicData>
          </a:graphic>
        </wp:inline>
      </w:drawing>
    </w:r>
    <w:r>
      <w:rPr>
        <w:rFonts w:hint="eastAsia"/>
        <w:szCs w:val="21"/>
      </w:rPr>
      <w:t xml:space="preserve">  新疆银桥工程项目咨询有限公司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bookmarkStart w:id="4" w:name="OLE_LINK62"/>
    <w:r>
      <w:rPr>
        <w:szCs w:val="21"/>
      </w:rPr>
      <w:drawing>
        <wp:inline distT="0" distB="0" distL="0" distR="0">
          <wp:extent cx="362585" cy="378460"/>
          <wp:effectExtent l="0" t="0" r="0" b="2540"/>
          <wp:docPr id="20" name="图片 24" descr="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标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2585" cy="378460"/>
                  </a:xfrm>
                  <a:prstGeom prst="rect">
                    <a:avLst/>
                  </a:prstGeom>
                  <a:noFill/>
                  <a:ln>
                    <a:noFill/>
                  </a:ln>
                </pic:spPr>
              </pic:pic>
            </a:graphicData>
          </a:graphic>
        </wp:inline>
      </w:drawing>
    </w:r>
    <w:r>
      <w:rPr>
        <w:rFonts w:hint="eastAsia"/>
        <w:szCs w:val="21"/>
      </w:rPr>
      <w:t xml:space="preserve">  新疆银桥工程项目咨询有限公司</w:t>
    </w:r>
    <w:bookmarkEnd w:id="4"/>
    <w:r>
      <w:rPr>
        <w:rFonts w:hint="eastAsia"/>
        <w:szCs w:val="21"/>
      </w:rPr>
      <w:t xml:space="preserve">                                                      企业简介</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8527B"/>
    <w:multiLevelType w:val="singleLevel"/>
    <w:tmpl w:val="5718527B"/>
    <w:lvl w:ilvl="0" w:tentative="0">
      <w:start w:val="1"/>
      <w:numFmt w:val="decimal"/>
      <w:suff w:val="nothing"/>
      <w:lvlText w:val="%1、"/>
      <w:lvlJc w:val="left"/>
    </w:lvl>
  </w:abstractNum>
  <w:abstractNum w:abstractNumId="1">
    <w:nsid w:val="7C3E52A3"/>
    <w:multiLevelType w:val="singleLevel"/>
    <w:tmpl w:val="7C3E52A3"/>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47"/>
  <w:drawingGridVerticalSpacing w:val="415"/>
  <w:displayHorizontalDrawingGridEvery w:val="1"/>
  <w:displayVerticalDrawingGridEvery w:val="1"/>
  <w:noPunctuationKerning w:val="1"/>
  <w:characterSpacingControl w:val="compressPunctuation"/>
  <w:doNotValidateAgainstSchema/>
  <w:doNotDemarcateInvalidXml/>
  <w:hdrShapeDefaults>
    <o:shapelayout v:ext="edit">
      <o:idmap v:ext="edit" data="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5BD1"/>
    <w:rsid w:val="000264C8"/>
    <w:rsid w:val="00031B86"/>
    <w:rsid w:val="00037CE1"/>
    <w:rsid w:val="000430E4"/>
    <w:rsid w:val="00053FE9"/>
    <w:rsid w:val="00074519"/>
    <w:rsid w:val="00092359"/>
    <w:rsid w:val="000A0810"/>
    <w:rsid w:val="000B0819"/>
    <w:rsid w:val="000E3A1C"/>
    <w:rsid w:val="00121509"/>
    <w:rsid w:val="00122A14"/>
    <w:rsid w:val="00126DAC"/>
    <w:rsid w:val="00127F53"/>
    <w:rsid w:val="00137334"/>
    <w:rsid w:val="00143A23"/>
    <w:rsid w:val="001464EE"/>
    <w:rsid w:val="00146E21"/>
    <w:rsid w:val="00172A27"/>
    <w:rsid w:val="00175559"/>
    <w:rsid w:val="00195B6C"/>
    <w:rsid w:val="0019606F"/>
    <w:rsid w:val="001A2DAA"/>
    <w:rsid w:val="001A57B8"/>
    <w:rsid w:val="001C2568"/>
    <w:rsid w:val="001C720F"/>
    <w:rsid w:val="001C78C3"/>
    <w:rsid w:val="001D7EF0"/>
    <w:rsid w:val="001E02E8"/>
    <w:rsid w:val="001E1A87"/>
    <w:rsid w:val="00214841"/>
    <w:rsid w:val="00240F6D"/>
    <w:rsid w:val="002422C9"/>
    <w:rsid w:val="00263AFF"/>
    <w:rsid w:val="0029428A"/>
    <w:rsid w:val="002C5B36"/>
    <w:rsid w:val="002F3842"/>
    <w:rsid w:val="002F4F67"/>
    <w:rsid w:val="00300A96"/>
    <w:rsid w:val="00306B03"/>
    <w:rsid w:val="0032121D"/>
    <w:rsid w:val="003222EE"/>
    <w:rsid w:val="0033479A"/>
    <w:rsid w:val="003571AD"/>
    <w:rsid w:val="00365777"/>
    <w:rsid w:val="00365D7E"/>
    <w:rsid w:val="0039290B"/>
    <w:rsid w:val="003B516C"/>
    <w:rsid w:val="003E78F7"/>
    <w:rsid w:val="004224C0"/>
    <w:rsid w:val="00452E48"/>
    <w:rsid w:val="004533C9"/>
    <w:rsid w:val="0046617C"/>
    <w:rsid w:val="00475009"/>
    <w:rsid w:val="00475912"/>
    <w:rsid w:val="00487215"/>
    <w:rsid w:val="00496928"/>
    <w:rsid w:val="004B52EE"/>
    <w:rsid w:val="004F0F90"/>
    <w:rsid w:val="0052013F"/>
    <w:rsid w:val="00530ECF"/>
    <w:rsid w:val="005410FF"/>
    <w:rsid w:val="005500AE"/>
    <w:rsid w:val="005615B2"/>
    <w:rsid w:val="005642EB"/>
    <w:rsid w:val="0058346B"/>
    <w:rsid w:val="0059387D"/>
    <w:rsid w:val="005A1317"/>
    <w:rsid w:val="005A4F2B"/>
    <w:rsid w:val="005E3179"/>
    <w:rsid w:val="005F315D"/>
    <w:rsid w:val="005F4130"/>
    <w:rsid w:val="0060748A"/>
    <w:rsid w:val="0061358F"/>
    <w:rsid w:val="006315B0"/>
    <w:rsid w:val="0064639D"/>
    <w:rsid w:val="00667232"/>
    <w:rsid w:val="00673B34"/>
    <w:rsid w:val="00674F5C"/>
    <w:rsid w:val="00690D3B"/>
    <w:rsid w:val="006A28CD"/>
    <w:rsid w:val="006A3833"/>
    <w:rsid w:val="006B1E7D"/>
    <w:rsid w:val="0072653C"/>
    <w:rsid w:val="00730315"/>
    <w:rsid w:val="00743655"/>
    <w:rsid w:val="00750ED6"/>
    <w:rsid w:val="00753F12"/>
    <w:rsid w:val="007663BC"/>
    <w:rsid w:val="00770958"/>
    <w:rsid w:val="00793454"/>
    <w:rsid w:val="007A19D0"/>
    <w:rsid w:val="007B2912"/>
    <w:rsid w:val="007B4435"/>
    <w:rsid w:val="007C049A"/>
    <w:rsid w:val="007C3BBC"/>
    <w:rsid w:val="007D5E8C"/>
    <w:rsid w:val="007D728F"/>
    <w:rsid w:val="007F4E07"/>
    <w:rsid w:val="008079A2"/>
    <w:rsid w:val="008147CA"/>
    <w:rsid w:val="00843DCE"/>
    <w:rsid w:val="008622C9"/>
    <w:rsid w:val="008726C5"/>
    <w:rsid w:val="00881915"/>
    <w:rsid w:val="0089449A"/>
    <w:rsid w:val="008A6724"/>
    <w:rsid w:val="008C0E16"/>
    <w:rsid w:val="008C26B6"/>
    <w:rsid w:val="008D2470"/>
    <w:rsid w:val="008E157D"/>
    <w:rsid w:val="008F1C0D"/>
    <w:rsid w:val="008F1C7C"/>
    <w:rsid w:val="008F1E1F"/>
    <w:rsid w:val="00904CE3"/>
    <w:rsid w:val="00912BC7"/>
    <w:rsid w:val="00921078"/>
    <w:rsid w:val="00931F2E"/>
    <w:rsid w:val="0093212F"/>
    <w:rsid w:val="00933CC4"/>
    <w:rsid w:val="00953951"/>
    <w:rsid w:val="00967AC3"/>
    <w:rsid w:val="00973C4B"/>
    <w:rsid w:val="00976970"/>
    <w:rsid w:val="00A042ED"/>
    <w:rsid w:val="00A1717B"/>
    <w:rsid w:val="00A23E43"/>
    <w:rsid w:val="00A27EE4"/>
    <w:rsid w:val="00A3215A"/>
    <w:rsid w:val="00A7422E"/>
    <w:rsid w:val="00AA7DD9"/>
    <w:rsid w:val="00AB73AA"/>
    <w:rsid w:val="00AC1596"/>
    <w:rsid w:val="00AE0E06"/>
    <w:rsid w:val="00AF450E"/>
    <w:rsid w:val="00B035D4"/>
    <w:rsid w:val="00B04446"/>
    <w:rsid w:val="00B07CF7"/>
    <w:rsid w:val="00B30A05"/>
    <w:rsid w:val="00B36013"/>
    <w:rsid w:val="00B42005"/>
    <w:rsid w:val="00B526C5"/>
    <w:rsid w:val="00B7633B"/>
    <w:rsid w:val="00B84716"/>
    <w:rsid w:val="00B878DF"/>
    <w:rsid w:val="00BB780C"/>
    <w:rsid w:val="00BE1C8B"/>
    <w:rsid w:val="00BF22AC"/>
    <w:rsid w:val="00BF5E89"/>
    <w:rsid w:val="00C0306D"/>
    <w:rsid w:val="00C14A20"/>
    <w:rsid w:val="00C301B2"/>
    <w:rsid w:val="00C514BE"/>
    <w:rsid w:val="00C562E1"/>
    <w:rsid w:val="00C66B3D"/>
    <w:rsid w:val="00C817D0"/>
    <w:rsid w:val="00C82537"/>
    <w:rsid w:val="00C83E81"/>
    <w:rsid w:val="00C918D4"/>
    <w:rsid w:val="00CA7D7A"/>
    <w:rsid w:val="00CB4B32"/>
    <w:rsid w:val="00CC4683"/>
    <w:rsid w:val="00CD23C2"/>
    <w:rsid w:val="00CE287A"/>
    <w:rsid w:val="00D06E47"/>
    <w:rsid w:val="00D101E6"/>
    <w:rsid w:val="00D23AA8"/>
    <w:rsid w:val="00D343E6"/>
    <w:rsid w:val="00D46C40"/>
    <w:rsid w:val="00D50BE7"/>
    <w:rsid w:val="00D65394"/>
    <w:rsid w:val="00D93560"/>
    <w:rsid w:val="00DA6C85"/>
    <w:rsid w:val="00DB5EF4"/>
    <w:rsid w:val="00DC15AE"/>
    <w:rsid w:val="00DC4002"/>
    <w:rsid w:val="00DD0937"/>
    <w:rsid w:val="00DF0182"/>
    <w:rsid w:val="00E05792"/>
    <w:rsid w:val="00E13615"/>
    <w:rsid w:val="00E33C08"/>
    <w:rsid w:val="00E57E73"/>
    <w:rsid w:val="00E6489E"/>
    <w:rsid w:val="00E66D82"/>
    <w:rsid w:val="00E83029"/>
    <w:rsid w:val="00E8510C"/>
    <w:rsid w:val="00E86044"/>
    <w:rsid w:val="00EB6F2C"/>
    <w:rsid w:val="00EC358F"/>
    <w:rsid w:val="00ED7C88"/>
    <w:rsid w:val="00F409AC"/>
    <w:rsid w:val="00F4344B"/>
    <w:rsid w:val="00F44C7F"/>
    <w:rsid w:val="00F74BDF"/>
    <w:rsid w:val="00F83766"/>
    <w:rsid w:val="00F8635D"/>
    <w:rsid w:val="00FA0F80"/>
    <w:rsid w:val="00FA79E1"/>
    <w:rsid w:val="00FB50B0"/>
    <w:rsid w:val="00FD7999"/>
    <w:rsid w:val="00FF4235"/>
    <w:rsid w:val="00FF5469"/>
    <w:rsid w:val="00FF7B78"/>
    <w:rsid w:val="01172379"/>
    <w:rsid w:val="01BA1962"/>
    <w:rsid w:val="039A5E95"/>
    <w:rsid w:val="04E8539D"/>
    <w:rsid w:val="05097AD0"/>
    <w:rsid w:val="05E725F4"/>
    <w:rsid w:val="06F6544D"/>
    <w:rsid w:val="08106391"/>
    <w:rsid w:val="08795F20"/>
    <w:rsid w:val="09C4506E"/>
    <w:rsid w:val="09D860D0"/>
    <w:rsid w:val="0B7061D0"/>
    <w:rsid w:val="0BB0283D"/>
    <w:rsid w:val="0BEA0F8A"/>
    <w:rsid w:val="0D4E5761"/>
    <w:rsid w:val="0EB32AAA"/>
    <w:rsid w:val="0F6B5ADC"/>
    <w:rsid w:val="10DD46B8"/>
    <w:rsid w:val="10EE5B15"/>
    <w:rsid w:val="11807745"/>
    <w:rsid w:val="12C52256"/>
    <w:rsid w:val="130A3525"/>
    <w:rsid w:val="13A61E00"/>
    <w:rsid w:val="13A85E50"/>
    <w:rsid w:val="13D9223F"/>
    <w:rsid w:val="14C979C7"/>
    <w:rsid w:val="14DB3FA3"/>
    <w:rsid w:val="15111851"/>
    <w:rsid w:val="15C14DA3"/>
    <w:rsid w:val="16A36345"/>
    <w:rsid w:val="16DA1093"/>
    <w:rsid w:val="17501348"/>
    <w:rsid w:val="1889564E"/>
    <w:rsid w:val="19004393"/>
    <w:rsid w:val="1974101B"/>
    <w:rsid w:val="1AD155BC"/>
    <w:rsid w:val="1FDB0C6E"/>
    <w:rsid w:val="215B63C6"/>
    <w:rsid w:val="21702AE9"/>
    <w:rsid w:val="220977E4"/>
    <w:rsid w:val="223D2621"/>
    <w:rsid w:val="226A1E07"/>
    <w:rsid w:val="240A584E"/>
    <w:rsid w:val="241D7CC7"/>
    <w:rsid w:val="24713FFC"/>
    <w:rsid w:val="24D40F7C"/>
    <w:rsid w:val="26426FD9"/>
    <w:rsid w:val="275D6C5B"/>
    <w:rsid w:val="276360C5"/>
    <w:rsid w:val="28717541"/>
    <w:rsid w:val="2A012DF7"/>
    <w:rsid w:val="2A3854D0"/>
    <w:rsid w:val="2B550B82"/>
    <w:rsid w:val="2BB3633E"/>
    <w:rsid w:val="2E2831C7"/>
    <w:rsid w:val="2F663926"/>
    <w:rsid w:val="30EC1697"/>
    <w:rsid w:val="32724DD0"/>
    <w:rsid w:val="33270FC7"/>
    <w:rsid w:val="35023140"/>
    <w:rsid w:val="35F75996"/>
    <w:rsid w:val="37366816"/>
    <w:rsid w:val="381F40A2"/>
    <w:rsid w:val="38941756"/>
    <w:rsid w:val="39902C7F"/>
    <w:rsid w:val="3AC0733E"/>
    <w:rsid w:val="3B557882"/>
    <w:rsid w:val="3B7905A1"/>
    <w:rsid w:val="3C205344"/>
    <w:rsid w:val="3CFF6DAD"/>
    <w:rsid w:val="3D3664B6"/>
    <w:rsid w:val="3D407F0C"/>
    <w:rsid w:val="3EBC06FE"/>
    <w:rsid w:val="3FB11577"/>
    <w:rsid w:val="40054249"/>
    <w:rsid w:val="406E00C4"/>
    <w:rsid w:val="420C2FE8"/>
    <w:rsid w:val="43104E14"/>
    <w:rsid w:val="442B2FE3"/>
    <w:rsid w:val="46534F71"/>
    <w:rsid w:val="465E3302"/>
    <w:rsid w:val="48152242"/>
    <w:rsid w:val="4AA90E9C"/>
    <w:rsid w:val="4D3267B3"/>
    <w:rsid w:val="4D7D11B1"/>
    <w:rsid w:val="4DD51840"/>
    <w:rsid w:val="4F2E1C4F"/>
    <w:rsid w:val="508D62E5"/>
    <w:rsid w:val="51575894"/>
    <w:rsid w:val="517E0363"/>
    <w:rsid w:val="51B15AAE"/>
    <w:rsid w:val="51EE03FD"/>
    <w:rsid w:val="5557610E"/>
    <w:rsid w:val="56C85FA6"/>
    <w:rsid w:val="577A038C"/>
    <w:rsid w:val="58D1000F"/>
    <w:rsid w:val="5BB3647D"/>
    <w:rsid w:val="5C60789B"/>
    <w:rsid w:val="5C9522F3"/>
    <w:rsid w:val="5DF3459C"/>
    <w:rsid w:val="60285B31"/>
    <w:rsid w:val="61CE5D83"/>
    <w:rsid w:val="61EE04BF"/>
    <w:rsid w:val="63BD24F9"/>
    <w:rsid w:val="65C31B82"/>
    <w:rsid w:val="664107D0"/>
    <w:rsid w:val="667E6E71"/>
    <w:rsid w:val="68185BFF"/>
    <w:rsid w:val="6985092D"/>
    <w:rsid w:val="6A0E7A66"/>
    <w:rsid w:val="6A424C59"/>
    <w:rsid w:val="6A935267"/>
    <w:rsid w:val="6E8F7C47"/>
    <w:rsid w:val="6FFC2C52"/>
    <w:rsid w:val="6FFC370A"/>
    <w:rsid w:val="700C1760"/>
    <w:rsid w:val="705F6A3F"/>
    <w:rsid w:val="70F06D22"/>
    <w:rsid w:val="727836AB"/>
    <w:rsid w:val="733B1918"/>
    <w:rsid w:val="735B7C4E"/>
    <w:rsid w:val="737B5F85"/>
    <w:rsid w:val="748B5DC2"/>
    <w:rsid w:val="74D73531"/>
    <w:rsid w:val="765F2E52"/>
    <w:rsid w:val="782F143B"/>
    <w:rsid w:val="7A8F6B8C"/>
    <w:rsid w:val="7AF244C2"/>
    <w:rsid w:val="7C9C1B1E"/>
    <w:rsid w:val="7CB73A1C"/>
    <w:rsid w:val="7DEB6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uiPriority="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38"/>
    <w:semiHidden/>
    <w:unhideWhenUsed/>
    <w:qFormat/>
    <w:uiPriority w:val="0"/>
    <w:rPr>
      <w:rFonts w:ascii="宋体"/>
      <w:sz w:val="18"/>
      <w:szCs w:val="18"/>
    </w:rPr>
  </w:style>
  <w:style w:type="paragraph" w:styleId="3">
    <w:name w:val="Body Text 3"/>
    <w:basedOn w:val="1"/>
    <w:qFormat/>
    <w:uiPriority w:val="0"/>
    <w:pPr>
      <w:spacing w:after="120"/>
    </w:pPr>
    <w:rPr>
      <w:sz w:val="16"/>
      <w:szCs w:val="16"/>
    </w:rPr>
  </w:style>
  <w:style w:type="paragraph" w:styleId="4">
    <w:name w:val="Body Text Indent"/>
    <w:basedOn w:val="1"/>
    <w:qFormat/>
    <w:uiPriority w:val="0"/>
    <w:pPr>
      <w:ind w:firstLine="600" w:firstLineChars="200"/>
    </w:pPr>
    <w:rPr>
      <w:sz w:val="30"/>
    </w:rPr>
  </w:style>
  <w:style w:type="paragraph" w:styleId="5">
    <w:name w:val="Balloon Text"/>
    <w:basedOn w:val="1"/>
    <w:link w:val="35"/>
    <w:qFormat/>
    <w:uiPriority w:val="0"/>
    <w:rPr>
      <w:sz w:val="18"/>
      <w:szCs w:val="18"/>
    </w:rPr>
  </w:style>
  <w:style w:type="paragraph" w:styleId="6">
    <w:name w:val="footer"/>
    <w:basedOn w:val="1"/>
    <w:link w:val="36"/>
    <w:qFormat/>
    <w:uiPriority w:val="99"/>
    <w:pPr>
      <w:tabs>
        <w:tab w:val="center" w:pos="4153"/>
        <w:tab w:val="right" w:pos="8306"/>
      </w:tabs>
      <w:snapToGrid w:val="0"/>
      <w:jc w:val="left"/>
    </w:pPr>
    <w:rPr>
      <w:sz w:val="18"/>
      <w:szCs w:val="18"/>
    </w:rPr>
  </w:style>
  <w:style w:type="paragraph" w:styleId="7">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page number"/>
    <w:basedOn w:val="11"/>
    <w:qFormat/>
    <w:uiPriority w:val="0"/>
  </w:style>
  <w:style w:type="character" w:styleId="14">
    <w:name w:val="FollowedHyperlink"/>
    <w:qFormat/>
    <w:uiPriority w:val="0"/>
    <w:rPr>
      <w:color w:val="136EC2"/>
      <w:u w:val="none"/>
    </w:rPr>
  </w:style>
  <w:style w:type="character" w:styleId="15">
    <w:name w:val="Emphasis"/>
    <w:qFormat/>
    <w:uiPriority w:val="0"/>
  </w:style>
  <w:style w:type="character" w:styleId="16">
    <w:name w:val="HTML Definition"/>
    <w:qFormat/>
    <w:uiPriority w:val="0"/>
  </w:style>
  <w:style w:type="character" w:styleId="17">
    <w:name w:val="HTML Acronym"/>
    <w:basedOn w:val="11"/>
    <w:qFormat/>
    <w:uiPriority w:val="0"/>
  </w:style>
  <w:style w:type="character" w:styleId="18">
    <w:name w:val="HTML Variable"/>
    <w:qFormat/>
    <w:uiPriority w:val="0"/>
  </w:style>
  <w:style w:type="character" w:styleId="19">
    <w:name w:val="Hyperlink"/>
    <w:qFormat/>
    <w:uiPriority w:val="0"/>
    <w:rPr>
      <w:color w:val="136EC2"/>
      <w:u w:val="none"/>
    </w:rPr>
  </w:style>
  <w:style w:type="character" w:styleId="20">
    <w:name w:val="HTML Code"/>
    <w:qFormat/>
    <w:uiPriority w:val="0"/>
    <w:rPr>
      <w:rFonts w:ascii="Courier New" w:hAnsi="Courier New"/>
      <w:sz w:val="20"/>
    </w:rPr>
  </w:style>
  <w:style w:type="character" w:styleId="21">
    <w:name w:val="HTML Cite"/>
    <w:qFormat/>
    <w:uiPriority w:val="0"/>
  </w:style>
  <w:style w:type="character" w:customStyle="1" w:styleId="22">
    <w:name w:val="del2"/>
    <w:qFormat/>
    <w:uiPriority w:val="0"/>
    <w:rPr>
      <w:vanish/>
      <w:color w:val="666666"/>
      <w:sz w:val="18"/>
      <w:szCs w:val="18"/>
      <w:u w:val="single"/>
    </w:rPr>
  </w:style>
  <w:style w:type="character" w:customStyle="1" w:styleId="23">
    <w:name w:val="font01"/>
    <w:qFormat/>
    <w:uiPriority w:val="0"/>
    <w:rPr>
      <w:rFonts w:hint="eastAsia" w:ascii="宋体" w:hAnsi="宋体" w:eastAsia="宋体" w:cs="宋体"/>
      <w:color w:val="000000"/>
      <w:sz w:val="20"/>
      <w:szCs w:val="20"/>
      <w:u w:val="none"/>
    </w:rPr>
  </w:style>
  <w:style w:type="character" w:customStyle="1" w:styleId="24">
    <w:name w:val="style4"/>
    <w:basedOn w:val="11"/>
    <w:qFormat/>
    <w:uiPriority w:val="0"/>
  </w:style>
  <w:style w:type="character" w:customStyle="1" w:styleId="25">
    <w:name w:val="entry-stat-author4"/>
    <w:qFormat/>
    <w:uiPriority w:val="0"/>
    <w:rPr>
      <w:color w:val="136EC2"/>
    </w:rPr>
  </w:style>
  <w:style w:type="character" w:customStyle="1" w:styleId="26">
    <w:name w:val="elite-lv2"/>
    <w:basedOn w:val="11"/>
    <w:qFormat/>
    <w:uiPriority w:val="0"/>
  </w:style>
  <w:style w:type="character" w:customStyle="1" w:styleId="27">
    <w:name w:val="del"/>
    <w:qFormat/>
    <w:uiPriority w:val="0"/>
    <w:rPr>
      <w:vanish/>
    </w:rPr>
  </w:style>
  <w:style w:type="character" w:customStyle="1" w:styleId="28">
    <w:name w:val="font21"/>
    <w:qFormat/>
    <w:uiPriority w:val="0"/>
    <w:rPr>
      <w:rFonts w:hint="eastAsia" w:ascii="宋体" w:hAnsi="宋体" w:eastAsia="宋体" w:cs="宋体"/>
      <w:color w:val="000000"/>
      <w:sz w:val="20"/>
      <w:szCs w:val="20"/>
      <w:u w:val="none"/>
    </w:rPr>
  </w:style>
  <w:style w:type="character" w:customStyle="1" w:styleId="29">
    <w:name w:val="font31"/>
    <w:qFormat/>
    <w:uiPriority w:val="0"/>
    <w:rPr>
      <w:color w:val="FF6600"/>
      <w:sz w:val="18"/>
      <w:szCs w:val="18"/>
    </w:rPr>
  </w:style>
  <w:style w:type="character" w:customStyle="1" w:styleId="30">
    <w:name w:val="del1"/>
    <w:basedOn w:val="11"/>
    <w:qFormat/>
    <w:uiPriority w:val="0"/>
  </w:style>
  <w:style w:type="character" w:customStyle="1" w:styleId="31">
    <w:name w:val="del3"/>
    <w:qFormat/>
    <w:uiPriority w:val="0"/>
    <w:rPr>
      <w:vanish/>
    </w:rPr>
  </w:style>
  <w:style w:type="character" w:customStyle="1" w:styleId="32">
    <w:name w:val="font11"/>
    <w:qFormat/>
    <w:uiPriority w:val="0"/>
    <w:rPr>
      <w:color w:val="FF0000"/>
    </w:rPr>
  </w:style>
  <w:style w:type="character" w:customStyle="1" w:styleId="33">
    <w:name w:val="p"/>
    <w:basedOn w:val="11"/>
    <w:qFormat/>
    <w:uiPriority w:val="0"/>
  </w:style>
  <w:style w:type="paragraph" w:customStyle="1" w:styleId="34">
    <w:name w:val="Default Tex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35">
    <w:name w:val="批注框文本 Char"/>
    <w:link w:val="5"/>
    <w:qFormat/>
    <w:uiPriority w:val="0"/>
    <w:rPr>
      <w:kern w:val="2"/>
      <w:sz w:val="18"/>
      <w:szCs w:val="18"/>
    </w:rPr>
  </w:style>
  <w:style w:type="character" w:customStyle="1" w:styleId="36">
    <w:name w:val="页脚 Char"/>
    <w:basedOn w:val="11"/>
    <w:link w:val="6"/>
    <w:qFormat/>
    <w:uiPriority w:val="99"/>
    <w:rPr>
      <w:kern w:val="2"/>
      <w:sz w:val="18"/>
      <w:szCs w:val="18"/>
    </w:rPr>
  </w:style>
  <w:style w:type="character" w:customStyle="1" w:styleId="37">
    <w:name w:val="页眉 Char"/>
    <w:basedOn w:val="11"/>
    <w:link w:val="7"/>
    <w:qFormat/>
    <w:uiPriority w:val="99"/>
    <w:rPr>
      <w:kern w:val="2"/>
      <w:sz w:val="18"/>
      <w:szCs w:val="18"/>
    </w:rPr>
  </w:style>
  <w:style w:type="character" w:customStyle="1" w:styleId="38">
    <w:name w:val="文档结构图 Char"/>
    <w:basedOn w:val="11"/>
    <w:link w:val="2"/>
    <w:semiHidden/>
    <w:qFormat/>
    <w:uiPriority w:val="0"/>
    <w:rPr>
      <w:rFonts w:ascii="宋体"/>
      <w:kern w:val="2"/>
      <w:sz w:val="18"/>
      <w:szCs w:val="18"/>
    </w:rPr>
  </w:style>
  <w:style w:type="character" w:customStyle="1" w:styleId="39">
    <w:name w:val="item-name"/>
    <w:basedOn w:val="11"/>
    <w:qFormat/>
    <w:uiPriority w:val="0"/>
  </w:style>
  <w:style w:type="character" w:customStyle="1" w:styleId="40">
    <w:name w:val="item-name1"/>
    <w:basedOn w:val="11"/>
    <w:qFormat/>
    <w:uiPriority w:val="0"/>
  </w:style>
  <w:style w:type="character" w:customStyle="1" w:styleId="41">
    <w:name w:val="current1"/>
    <w:basedOn w:val="11"/>
    <w:qFormat/>
    <w:uiPriority w:val="0"/>
    <w:rPr>
      <w:b/>
    </w:rPr>
  </w:style>
  <w:style w:type="character" w:customStyle="1" w:styleId="42">
    <w:name w:val="current"/>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microsoft.com/office/2007/relationships/hdphoto" Target="media/image8.wdp"/><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http://www.creahh.com/images/tdpg.jpg" TargetMode="Externa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93252-9D28-4720-B76F-87BA5D3BB019}">
  <ds:schemaRefs/>
</ds:datastoreItem>
</file>

<file path=docProps/app.xml><?xml version="1.0" encoding="utf-8"?>
<Properties xmlns="http://schemas.openxmlformats.org/officeDocument/2006/extended-properties" xmlns:vt="http://schemas.openxmlformats.org/officeDocument/2006/docPropsVTypes">
  <Template>Normal.dotm</Template>
  <Company>新疆华光房地产价格评估有限责任公司</Company>
  <Pages>1</Pages>
  <Words>1099</Words>
  <Characters>6267</Characters>
  <Lines>52</Lines>
  <Paragraphs>14</Paragraphs>
  <TotalTime>86</TotalTime>
  <ScaleCrop>false</ScaleCrop>
  <LinksUpToDate>false</LinksUpToDate>
  <CharactersWithSpaces>7352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2020-05-18T09:56:00Z</dcterms:created>
  <dc:creator>华光</dc:creator>
  <cp:lastModifiedBy>talat</cp:lastModifiedBy>
  <cp:lastPrinted>2020-05-18T11:10:00Z</cp:lastPrinted>
  <dcterms:modified xsi:type="dcterms:W3CDTF">2020-06-17T09:52:42Z</dcterms:modified>
  <dc:title>新疆华光房地产价格评估有限公司</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